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CAFF" w14:textId="111F1CD4" w:rsidR="00EA4C1C" w:rsidRPr="001A32A4" w:rsidRDefault="00EA4C1C" w:rsidP="001A32A4"/>
    <w:p w14:paraId="4889D197" w14:textId="77777777" w:rsidR="004360A2" w:rsidRDefault="004360A2" w:rsidP="009E059D">
      <w:pPr>
        <w:jc w:val="center"/>
        <w:rPr>
          <w:b/>
        </w:rPr>
      </w:pPr>
    </w:p>
    <w:p w14:paraId="23E1812A" w14:textId="09AB650F" w:rsidR="00EA4C1C" w:rsidRDefault="004F1D60" w:rsidP="009E059D">
      <w:pPr>
        <w:jc w:val="center"/>
        <w:rPr>
          <w:b/>
        </w:rPr>
      </w:pPr>
      <w:r w:rsidRPr="004F1D60">
        <w:rPr>
          <w:b/>
        </w:rPr>
        <w:t xml:space="preserve">FOLLOW-UP </w:t>
      </w:r>
      <w:r w:rsidR="00B82644" w:rsidRPr="009E059D">
        <w:rPr>
          <w:b/>
        </w:rPr>
        <w:t>INSPECTION OF THE SERIOUS FRAUD OFFICE</w:t>
      </w:r>
    </w:p>
    <w:p w14:paraId="1D24EAB9" w14:textId="77777777" w:rsidR="00972B63" w:rsidRPr="009E059D" w:rsidRDefault="00972B63" w:rsidP="009E059D">
      <w:pPr>
        <w:jc w:val="center"/>
        <w:rPr>
          <w:b/>
        </w:rPr>
      </w:pPr>
      <w:r>
        <w:rPr>
          <w:b/>
        </w:rPr>
        <w:t>CASE PROGRESSION</w:t>
      </w:r>
    </w:p>
    <w:p w14:paraId="2C4D731B" w14:textId="77777777" w:rsidR="00EA4C1C" w:rsidRPr="009E059D" w:rsidRDefault="00EA4C1C" w:rsidP="009E059D"/>
    <w:p w14:paraId="3245999E" w14:textId="53D67D96" w:rsidR="00EA4C1C" w:rsidRPr="009E059D" w:rsidRDefault="00B82644" w:rsidP="009E059D">
      <w:pPr>
        <w:jc w:val="center"/>
        <w:rPr>
          <w:b/>
        </w:rPr>
      </w:pPr>
      <w:r w:rsidRPr="009E059D">
        <w:rPr>
          <w:b/>
        </w:rPr>
        <w:t>SCOPING PAPER</w:t>
      </w:r>
      <w:r w:rsidR="0049674B">
        <w:rPr>
          <w:b/>
        </w:rPr>
        <w:t xml:space="preserve"> &amp; </w:t>
      </w:r>
      <w:r w:rsidR="004B38D4">
        <w:rPr>
          <w:b/>
        </w:rPr>
        <w:t xml:space="preserve">INSPECTION </w:t>
      </w:r>
      <w:r w:rsidR="0049674B">
        <w:rPr>
          <w:b/>
        </w:rPr>
        <w:t>FRAMEWORK</w:t>
      </w:r>
    </w:p>
    <w:p w14:paraId="33230ED4" w14:textId="77777777" w:rsidR="00EA4C1C" w:rsidRPr="009E059D" w:rsidRDefault="00EA4C1C" w:rsidP="0076489D"/>
    <w:p w14:paraId="62FC98FB" w14:textId="1013014B" w:rsidR="00B82644" w:rsidRDefault="00007846" w:rsidP="0076489D">
      <w:pPr>
        <w:rPr>
          <w:b/>
        </w:rPr>
      </w:pPr>
      <w:r w:rsidRPr="00B82644">
        <w:rPr>
          <w:b/>
        </w:rPr>
        <w:t>Background</w:t>
      </w:r>
    </w:p>
    <w:p w14:paraId="4425603B" w14:textId="1413CFCE" w:rsidR="004F1D60" w:rsidRDefault="004F1D60" w:rsidP="0076489D">
      <w:pPr>
        <w:rPr>
          <w:b/>
        </w:rPr>
      </w:pPr>
    </w:p>
    <w:p w14:paraId="5FF765A9" w14:textId="1D2C5BDB" w:rsidR="00314029" w:rsidRDefault="00314029" w:rsidP="00314029">
      <w:pPr>
        <w:rPr>
          <w:b/>
        </w:rPr>
      </w:pPr>
      <w:r w:rsidRPr="00B82644">
        <w:rPr>
          <w:rFonts w:eastAsia="Times New Roman" w:cs="Arial"/>
          <w:lang w:val="en" w:eastAsia="en-GB"/>
        </w:rPr>
        <w:t xml:space="preserve">The </w:t>
      </w:r>
      <w:r w:rsidRPr="00B82644">
        <w:t xml:space="preserve">Serious Fraud Office </w:t>
      </w:r>
      <w:r>
        <w:t>(</w:t>
      </w:r>
      <w:r w:rsidRPr="00B82644">
        <w:rPr>
          <w:rFonts w:eastAsia="Times New Roman" w:cs="Arial"/>
          <w:lang w:val="en" w:eastAsia="en-GB"/>
        </w:rPr>
        <w:t>SFO</w:t>
      </w:r>
      <w:r>
        <w:rPr>
          <w:rFonts w:eastAsia="Times New Roman" w:cs="Arial"/>
          <w:lang w:val="en" w:eastAsia="en-GB"/>
        </w:rPr>
        <w:t>)</w:t>
      </w:r>
      <w:r w:rsidRPr="00B82644">
        <w:rPr>
          <w:rFonts w:eastAsia="Times New Roman" w:cs="Arial"/>
          <w:lang w:val="en" w:eastAsia="en-GB"/>
        </w:rPr>
        <w:t xml:space="preserve"> is a specialist prosecuting authority tackling the </w:t>
      </w:r>
      <w:r w:rsidR="00E82E48">
        <w:rPr>
          <w:rFonts w:eastAsia="Times New Roman" w:cs="Arial"/>
          <w:lang w:val="en" w:eastAsia="en-GB"/>
        </w:rPr>
        <w:t xml:space="preserve">most </w:t>
      </w:r>
      <w:r w:rsidR="00E82E48" w:rsidRPr="00B82644">
        <w:rPr>
          <w:rFonts w:eastAsia="Times New Roman" w:cs="Arial"/>
          <w:lang w:val="en" w:eastAsia="en-GB"/>
        </w:rPr>
        <w:t>serious</w:t>
      </w:r>
      <w:r w:rsidRPr="00B82644">
        <w:rPr>
          <w:rFonts w:eastAsia="Times New Roman" w:cs="Arial"/>
          <w:lang w:val="en" w:eastAsia="en-GB"/>
        </w:rPr>
        <w:t xml:space="preserve"> or complex fraud, bribery and corruption. It is part of the UK criminal justice system and covers England, Wales and Northern Ireland, but not Scotland, the Isle of Man or the Channel Islands. The SFO takes on a small number of cases </w:t>
      </w:r>
      <w:r w:rsidR="00995D1A">
        <w:rPr>
          <w:rFonts w:eastAsia="Times New Roman" w:cs="Arial"/>
          <w:lang w:val="en" w:eastAsia="en-GB"/>
        </w:rPr>
        <w:t>and</w:t>
      </w:r>
      <w:r w:rsidR="00995D1A" w:rsidRPr="00B82644">
        <w:rPr>
          <w:rFonts w:eastAsia="Times New Roman" w:cs="Arial"/>
          <w:lang w:val="en" w:eastAsia="en-GB"/>
        </w:rPr>
        <w:t xml:space="preserve"> </w:t>
      </w:r>
      <w:r w:rsidRPr="00B82644">
        <w:rPr>
          <w:rFonts w:eastAsia="Times New Roman" w:cs="Arial"/>
          <w:lang w:val="en" w:eastAsia="en-GB"/>
        </w:rPr>
        <w:t>those they do take on are large and complex economic crime cases. </w:t>
      </w:r>
      <w:r>
        <w:rPr>
          <w:rFonts w:eastAsia="Times New Roman" w:cs="Arial"/>
          <w:lang w:val="en" w:eastAsia="en-GB"/>
        </w:rPr>
        <w:t xml:space="preserve"> </w:t>
      </w:r>
      <w:r w:rsidRPr="00B82644">
        <w:rPr>
          <w:rFonts w:eastAsia="Times New Roman" w:cs="Arial"/>
          <w:lang w:val="en" w:eastAsia="en-GB"/>
        </w:rPr>
        <w:t>The SFO also pursues the financial benefit</w:t>
      </w:r>
      <w:r w:rsidR="00CE17DA">
        <w:rPr>
          <w:rFonts w:eastAsia="Times New Roman" w:cs="Arial"/>
          <w:lang w:val="en" w:eastAsia="en-GB"/>
        </w:rPr>
        <w:t>s</w:t>
      </w:r>
      <w:r w:rsidRPr="00B82644">
        <w:rPr>
          <w:rFonts w:eastAsia="Times New Roman" w:cs="Arial"/>
          <w:lang w:val="en" w:eastAsia="en-GB"/>
        </w:rPr>
        <w:t xml:space="preserve"> acquired from crime and assist</w:t>
      </w:r>
      <w:r>
        <w:rPr>
          <w:rFonts w:eastAsia="Times New Roman" w:cs="Arial"/>
          <w:lang w:val="en" w:eastAsia="en-GB"/>
        </w:rPr>
        <w:t>s</w:t>
      </w:r>
      <w:r w:rsidRPr="00B82644">
        <w:rPr>
          <w:rFonts w:eastAsia="Times New Roman" w:cs="Arial"/>
          <w:lang w:val="en" w:eastAsia="en-GB"/>
        </w:rPr>
        <w:t xml:space="preserve"> overseas jurisdictions</w:t>
      </w:r>
      <w:r>
        <w:rPr>
          <w:rFonts w:eastAsia="Times New Roman" w:cs="Arial"/>
          <w:lang w:val="en" w:eastAsia="en-GB"/>
        </w:rPr>
        <w:t xml:space="preserve"> with their investigations</w:t>
      </w:r>
      <w:r w:rsidRPr="00B82644">
        <w:rPr>
          <w:rFonts w:eastAsia="Times New Roman" w:cs="Arial"/>
          <w:lang w:val="en" w:eastAsia="en-GB"/>
        </w:rPr>
        <w:t xml:space="preserve">. It has the power to both investigate and prosecute cases. </w:t>
      </w:r>
    </w:p>
    <w:p w14:paraId="3103EC19" w14:textId="77777777" w:rsidR="00314029" w:rsidRDefault="00314029" w:rsidP="00314029">
      <w:pPr>
        <w:rPr>
          <w:b/>
        </w:rPr>
      </w:pPr>
    </w:p>
    <w:p w14:paraId="7E853D8A" w14:textId="77777777" w:rsidR="00314029" w:rsidRDefault="00314029" w:rsidP="00314029">
      <w:pPr>
        <w:rPr>
          <w:rFonts w:eastAsia="Times New Roman" w:cs="Arial"/>
          <w:lang w:val="en" w:eastAsia="en-GB"/>
        </w:rPr>
      </w:pPr>
      <w:r w:rsidRPr="00B82644">
        <w:rPr>
          <w:rFonts w:eastAsia="Times New Roman" w:cs="Arial"/>
          <w:lang w:val="en" w:eastAsia="en-GB"/>
        </w:rPr>
        <w:t>The SFO works with other law enforcement partners to tackle the challenges faced from serious and organised crime in line with the Government’s strategy. The SFO also works collaboratively with UK Government departments, and with overseas partners, such as the US Department of Justice, on matters where there is a common interest.</w:t>
      </w:r>
    </w:p>
    <w:p w14:paraId="5896DBC1" w14:textId="77777777" w:rsidR="00314029" w:rsidRDefault="00314029" w:rsidP="00314029">
      <w:pPr>
        <w:rPr>
          <w:rFonts w:eastAsia="Times New Roman" w:cs="Arial"/>
          <w:lang w:val="en" w:eastAsia="en-GB"/>
        </w:rPr>
      </w:pPr>
    </w:p>
    <w:p w14:paraId="2E79686F" w14:textId="49CCA438" w:rsidR="00314029" w:rsidRDefault="00314029" w:rsidP="00314029">
      <w:pPr>
        <w:rPr>
          <w:rFonts w:eastAsia="Times New Roman" w:cs="Arial"/>
          <w:lang w:val="en" w:eastAsia="en-GB"/>
        </w:rPr>
      </w:pPr>
      <w:r>
        <w:rPr>
          <w:rFonts w:eastAsia="Times New Roman" w:cs="Arial"/>
          <w:lang w:val="en" w:eastAsia="en-GB"/>
        </w:rPr>
        <w:t xml:space="preserve">In October 2019 HMCPSI published an inspection report which examined case progression by the SFO. The inspection was in part as a result of the SFO’s own desire to improve the time cases took and </w:t>
      </w:r>
      <w:r w:rsidR="00995D1A">
        <w:rPr>
          <w:rFonts w:eastAsia="Times New Roman" w:cs="Arial"/>
          <w:lang w:val="en" w:eastAsia="en-GB"/>
        </w:rPr>
        <w:t>its consequent</w:t>
      </w:r>
      <w:r>
        <w:rPr>
          <w:rFonts w:eastAsia="Times New Roman" w:cs="Arial"/>
          <w:lang w:val="en" w:eastAsia="en-GB"/>
        </w:rPr>
        <w:t xml:space="preserve"> request for an independent assessment of i</w:t>
      </w:r>
      <w:r w:rsidRPr="00626616">
        <w:rPr>
          <w:rFonts w:eastAsia="Times New Roman" w:cs="Arial"/>
          <w:lang w:val="en" w:eastAsia="en-GB"/>
        </w:rPr>
        <w:t xml:space="preserve">ts handling of cases; </w:t>
      </w:r>
      <w:r>
        <w:rPr>
          <w:rFonts w:eastAsia="Times New Roman" w:cs="Arial"/>
          <w:lang w:val="en" w:eastAsia="en-GB"/>
        </w:rPr>
        <w:t xml:space="preserve">there was a view from </w:t>
      </w:r>
      <w:r w:rsidR="00995D1A">
        <w:rPr>
          <w:rFonts w:eastAsia="Times New Roman" w:cs="Arial"/>
          <w:lang w:val="en" w:eastAsia="en-GB"/>
        </w:rPr>
        <w:t xml:space="preserve">some </w:t>
      </w:r>
      <w:r>
        <w:rPr>
          <w:rFonts w:eastAsia="Times New Roman" w:cs="Arial"/>
          <w:lang w:val="en" w:eastAsia="en-GB"/>
        </w:rPr>
        <w:t xml:space="preserve">stakeholders that cases took too long, and </w:t>
      </w:r>
      <w:r w:rsidR="00995D1A">
        <w:rPr>
          <w:rFonts w:eastAsia="Times New Roman" w:cs="Arial"/>
          <w:lang w:val="en" w:eastAsia="en-GB"/>
        </w:rPr>
        <w:t xml:space="preserve">that </w:t>
      </w:r>
      <w:r w:rsidRPr="00626616">
        <w:rPr>
          <w:rFonts w:eastAsia="Times New Roman" w:cs="Arial"/>
          <w:lang w:val="en" w:eastAsia="en-GB"/>
        </w:rPr>
        <w:t xml:space="preserve">some </w:t>
      </w:r>
      <w:r w:rsidR="00995D1A">
        <w:rPr>
          <w:rFonts w:eastAsia="Times New Roman" w:cs="Arial"/>
          <w:lang w:val="en" w:eastAsia="en-GB"/>
        </w:rPr>
        <w:t xml:space="preserve">operational </w:t>
      </w:r>
      <w:r w:rsidRPr="00626616">
        <w:rPr>
          <w:rFonts w:eastAsia="Times New Roman" w:cs="Arial"/>
          <w:lang w:val="en" w:eastAsia="en-GB"/>
        </w:rPr>
        <w:t xml:space="preserve">failures </w:t>
      </w:r>
      <w:r>
        <w:rPr>
          <w:rFonts w:eastAsia="Times New Roman" w:cs="Arial"/>
          <w:lang w:val="en" w:eastAsia="en-GB"/>
        </w:rPr>
        <w:t>were as a result of poor case progression and case management.  The 2019 inspection a</w:t>
      </w:r>
      <w:r w:rsidRPr="00626616">
        <w:rPr>
          <w:rFonts w:eastAsia="Times New Roman" w:cs="Arial"/>
          <w:lang w:val="en" w:eastAsia="en-GB"/>
        </w:rPr>
        <w:t xml:space="preserve">ssessed case progression between the period </w:t>
      </w:r>
      <w:r w:rsidR="00CA2193">
        <w:rPr>
          <w:rFonts w:eastAsia="Times New Roman" w:cs="Arial"/>
          <w:lang w:val="en" w:eastAsia="en-GB"/>
        </w:rPr>
        <w:t xml:space="preserve">of </w:t>
      </w:r>
      <w:r w:rsidRPr="00626616">
        <w:rPr>
          <w:rFonts w:eastAsia="Times New Roman" w:cs="Arial"/>
          <w:lang w:val="en" w:eastAsia="en-GB"/>
        </w:rPr>
        <w:t xml:space="preserve">case acceptance </w:t>
      </w:r>
      <w:r w:rsidR="00CA2193">
        <w:rPr>
          <w:rFonts w:eastAsia="Times New Roman" w:cs="Arial"/>
          <w:lang w:val="en" w:eastAsia="en-GB"/>
        </w:rPr>
        <w:t xml:space="preserve">through </w:t>
      </w:r>
      <w:r w:rsidRPr="00626616">
        <w:rPr>
          <w:rFonts w:eastAsia="Times New Roman" w:cs="Arial"/>
          <w:lang w:val="en" w:eastAsia="en-GB"/>
        </w:rPr>
        <w:t xml:space="preserve">to charge. This period was chosen on the basis that it covers the </w:t>
      </w:r>
      <w:r w:rsidR="00995D1A">
        <w:rPr>
          <w:rFonts w:eastAsia="Times New Roman" w:cs="Arial"/>
          <w:lang w:val="en" w:eastAsia="en-GB"/>
        </w:rPr>
        <w:t xml:space="preserve">timeframe of cases where the SFO has the most control over its timetable and the pace of activity, namely the </w:t>
      </w:r>
      <w:r w:rsidRPr="00626616">
        <w:rPr>
          <w:rFonts w:eastAsia="Times New Roman" w:cs="Arial"/>
          <w:lang w:val="en" w:eastAsia="en-GB"/>
        </w:rPr>
        <w:t>investigation stage, case building stage, and the creation of the strategies including disclosure.</w:t>
      </w:r>
    </w:p>
    <w:p w14:paraId="02A844B1" w14:textId="77777777" w:rsidR="00314029" w:rsidRDefault="00314029" w:rsidP="00314029">
      <w:pPr>
        <w:rPr>
          <w:rFonts w:eastAsia="Times New Roman" w:cs="Arial"/>
          <w:lang w:val="en" w:eastAsia="en-GB"/>
        </w:rPr>
      </w:pPr>
    </w:p>
    <w:p w14:paraId="0C5FF007" w14:textId="7AC0AA62" w:rsidR="00314029" w:rsidRDefault="00314029" w:rsidP="00314029">
      <w:pPr>
        <w:rPr>
          <w:rFonts w:eastAsia="Times New Roman" w:cs="Arial"/>
          <w:lang w:val="en" w:eastAsia="en-GB"/>
        </w:rPr>
      </w:pPr>
      <w:r>
        <w:rPr>
          <w:rFonts w:eastAsia="Times New Roman" w:cs="Arial"/>
          <w:lang w:val="en" w:eastAsia="en-GB"/>
        </w:rPr>
        <w:t xml:space="preserve">The inspection found that the </w:t>
      </w:r>
      <w:r w:rsidRPr="00626616">
        <w:rPr>
          <w:rFonts w:eastAsia="Times New Roman" w:cs="Arial"/>
          <w:lang w:val="en" w:eastAsia="en-GB"/>
        </w:rPr>
        <w:t>SFO ha</w:t>
      </w:r>
      <w:r>
        <w:rPr>
          <w:rFonts w:eastAsia="Times New Roman" w:cs="Arial"/>
          <w:lang w:val="en" w:eastAsia="en-GB"/>
        </w:rPr>
        <w:t>d</w:t>
      </w:r>
      <w:r w:rsidRPr="00626616">
        <w:rPr>
          <w:rFonts w:eastAsia="Times New Roman" w:cs="Arial"/>
          <w:lang w:val="en" w:eastAsia="en-GB"/>
        </w:rPr>
        <w:t xml:space="preserve"> clear and well documented internal casework processes, contained in an operational handbook which sets out what is expected</w:t>
      </w:r>
      <w:r>
        <w:rPr>
          <w:rFonts w:eastAsia="Times New Roman" w:cs="Arial"/>
          <w:lang w:val="en" w:eastAsia="en-GB"/>
        </w:rPr>
        <w:t xml:space="preserve"> (</w:t>
      </w:r>
      <w:r w:rsidRPr="00626616">
        <w:rPr>
          <w:rFonts w:eastAsia="Times New Roman" w:cs="Arial"/>
          <w:lang w:val="en" w:eastAsia="en-GB"/>
        </w:rPr>
        <w:t>and in some instances mandated</w:t>
      </w:r>
      <w:r>
        <w:rPr>
          <w:rFonts w:eastAsia="Times New Roman" w:cs="Arial"/>
          <w:lang w:val="en" w:eastAsia="en-GB"/>
        </w:rPr>
        <w:t>)</w:t>
      </w:r>
      <w:r w:rsidRPr="00626616">
        <w:rPr>
          <w:rFonts w:eastAsia="Times New Roman" w:cs="Arial"/>
          <w:lang w:val="en" w:eastAsia="en-GB"/>
        </w:rPr>
        <w:t xml:space="preserve">. However, there </w:t>
      </w:r>
      <w:r w:rsidR="000E20FD">
        <w:rPr>
          <w:rFonts w:eastAsia="Times New Roman" w:cs="Arial"/>
          <w:lang w:val="en" w:eastAsia="en-GB"/>
        </w:rPr>
        <w:t>wa</w:t>
      </w:r>
      <w:r w:rsidRPr="00626616">
        <w:rPr>
          <w:rFonts w:eastAsia="Times New Roman" w:cs="Arial"/>
          <w:lang w:val="en" w:eastAsia="en-GB"/>
        </w:rPr>
        <w:t xml:space="preserve">s inconsistency in application, with individual case managers operating in their preferred way and this can impact </w:t>
      </w:r>
      <w:r w:rsidR="00CA2193">
        <w:rPr>
          <w:rFonts w:eastAsia="Times New Roman" w:cs="Arial"/>
          <w:lang w:val="en" w:eastAsia="en-GB"/>
        </w:rPr>
        <w:t xml:space="preserve">on </w:t>
      </w:r>
      <w:r w:rsidRPr="00626616">
        <w:rPr>
          <w:rFonts w:eastAsia="Times New Roman" w:cs="Arial"/>
          <w:lang w:val="en" w:eastAsia="en-GB"/>
        </w:rPr>
        <w:t>the effectiveness and efficiency of case progression. In some of the cases examined</w:t>
      </w:r>
      <w:r>
        <w:rPr>
          <w:rStyle w:val="FootnoteReference"/>
          <w:rFonts w:eastAsia="Times New Roman" w:cs="Arial"/>
          <w:lang w:val="en" w:eastAsia="en-GB"/>
        </w:rPr>
        <w:footnoteReference w:id="1"/>
      </w:r>
      <w:r w:rsidRPr="00626616">
        <w:rPr>
          <w:rFonts w:eastAsia="Times New Roman" w:cs="Arial"/>
          <w:lang w:val="en" w:eastAsia="en-GB"/>
        </w:rPr>
        <w:t xml:space="preserve"> inspectors found that this inconsistent and </w:t>
      </w:r>
      <w:r w:rsidR="000E20FD">
        <w:rPr>
          <w:rFonts w:eastAsia="Times New Roman" w:cs="Arial"/>
          <w:lang w:val="en" w:eastAsia="en-GB"/>
        </w:rPr>
        <w:t xml:space="preserve">the </w:t>
      </w:r>
      <w:r w:rsidRPr="00626616">
        <w:rPr>
          <w:rFonts w:eastAsia="Times New Roman" w:cs="Arial"/>
          <w:lang w:val="en" w:eastAsia="en-GB"/>
        </w:rPr>
        <w:t xml:space="preserve">personal approach </w:t>
      </w:r>
      <w:r w:rsidR="000E20FD">
        <w:rPr>
          <w:rFonts w:eastAsia="Times New Roman" w:cs="Arial"/>
          <w:lang w:val="en" w:eastAsia="en-GB"/>
        </w:rPr>
        <w:t xml:space="preserve">of case controllers </w:t>
      </w:r>
      <w:r w:rsidRPr="00626616">
        <w:rPr>
          <w:rFonts w:eastAsia="Times New Roman" w:cs="Arial"/>
          <w:lang w:val="en" w:eastAsia="en-GB"/>
        </w:rPr>
        <w:t>hamper</w:t>
      </w:r>
      <w:r w:rsidR="000E20FD">
        <w:rPr>
          <w:rFonts w:eastAsia="Times New Roman" w:cs="Arial"/>
          <w:lang w:val="en" w:eastAsia="en-GB"/>
        </w:rPr>
        <w:t>ed</w:t>
      </w:r>
      <w:r w:rsidRPr="00626616">
        <w:rPr>
          <w:rFonts w:eastAsia="Times New Roman" w:cs="Arial"/>
          <w:lang w:val="en" w:eastAsia="en-GB"/>
        </w:rPr>
        <w:t xml:space="preserve"> </w:t>
      </w:r>
      <w:r>
        <w:rPr>
          <w:rFonts w:eastAsia="Times New Roman" w:cs="Arial"/>
          <w:lang w:val="en" w:eastAsia="en-GB"/>
        </w:rPr>
        <w:t>the effective management and control of case</w:t>
      </w:r>
      <w:r w:rsidR="000E20FD">
        <w:rPr>
          <w:rFonts w:eastAsia="Times New Roman" w:cs="Arial"/>
          <w:lang w:val="en" w:eastAsia="en-GB"/>
        </w:rPr>
        <w:t>s</w:t>
      </w:r>
      <w:r>
        <w:rPr>
          <w:rFonts w:eastAsia="Times New Roman" w:cs="Arial"/>
          <w:lang w:val="en" w:eastAsia="en-GB"/>
        </w:rPr>
        <w:t>. Additionally</w:t>
      </w:r>
      <w:r w:rsidR="000E20FD">
        <w:rPr>
          <w:rFonts w:eastAsia="Times New Roman" w:cs="Arial"/>
          <w:lang w:val="en" w:eastAsia="en-GB"/>
        </w:rPr>
        <w:t>,</w:t>
      </w:r>
      <w:r>
        <w:rPr>
          <w:rFonts w:eastAsia="Times New Roman" w:cs="Arial"/>
          <w:lang w:val="en" w:eastAsia="en-GB"/>
        </w:rPr>
        <w:t xml:space="preserve"> inconsistent compliance also increase</w:t>
      </w:r>
      <w:r w:rsidR="000E20FD">
        <w:rPr>
          <w:rFonts w:eastAsia="Times New Roman" w:cs="Arial"/>
          <w:lang w:val="en" w:eastAsia="en-GB"/>
        </w:rPr>
        <w:t>d</w:t>
      </w:r>
      <w:r>
        <w:rPr>
          <w:rFonts w:eastAsia="Times New Roman" w:cs="Arial"/>
          <w:lang w:val="en" w:eastAsia="en-GB"/>
        </w:rPr>
        <w:t xml:space="preserve"> the risk when change in case team and personnel happens. </w:t>
      </w:r>
      <w:r w:rsidRPr="00626616">
        <w:rPr>
          <w:rFonts w:eastAsia="Times New Roman" w:cs="Arial"/>
          <w:lang w:val="en" w:eastAsia="en-GB"/>
        </w:rPr>
        <w:t>Whilst there is a clear internal guidance and expectations the SFO could do more to improve its assurance processes to ensure full and appropriate compliance</w:t>
      </w:r>
      <w:r>
        <w:rPr>
          <w:rFonts w:eastAsia="Times New Roman" w:cs="Arial"/>
          <w:lang w:val="en" w:eastAsia="en-GB"/>
        </w:rPr>
        <w:t>.</w:t>
      </w:r>
    </w:p>
    <w:p w14:paraId="5787F916" w14:textId="77777777" w:rsidR="00314029" w:rsidRDefault="00314029" w:rsidP="00314029">
      <w:pPr>
        <w:rPr>
          <w:rFonts w:eastAsia="Times New Roman" w:cs="Arial"/>
          <w:lang w:val="en" w:eastAsia="en-GB"/>
        </w:rPr>
      </w:pPr>
    </w:p>
    <w:p w14:paraId="166BA8D6" w14:textId="4F494880" w:rsidR="00314029" w:rsidRDefault="00314029" w:rsidP="00314029">
      <w:pPr>
        <w:rPr>
          <w:bCs/>
        </w:rPr>
      </w:pPr>
      <w:r>
        <w:rPr>
          <w:bCs/>
        </w:rPr>
        <w:t xml:space="preserve">The 2019 inspection </w:t>
      </w:r>
      <w:r w:rsidR="000E20FD">
        <w:rPr>
          <w:bCs/>
        </w:rPr>
        <w:t xml:space="preserve">also noted </w:t>
      </w:r>
      <w:r>
        <w:rPr>
          <w:bCs/>
        </w:rPr>
        <w:t>that u</w:t>
      </w:r>
      <w:r w:rsidRPr="000272D7">
        <w:rPr>
          <w:bCs/>
        </w:rPr>
        <w:t xml:space="preserve">nused material was handled reasonably well, and there were examples of very good consideration of the material and strong disclosure strategies. However, there were inconsistencies in practice here, too. Compliance with the handbook and the methods of different case controllers resulted in inconsistencies in approach and hampered case progression, particularly when a peer review highlighted problems, or a new case controller changed the original case strategy. </w:t>
      </w:r>
      <w:r>
        <w:rPr>
          <w:bCs/>
        </w:rPr>
        <w:t>T</w:t>
      </w:r>
      <w:r w:rsidRPr="000272D7">
        <w:rPr>
          <w:bCs/>
        </w:rPr>
        <w:t>his caused delay and re-work.</w:t>
      </w:r>
    </w:p>
    <w:p w14:paraId="3B38DADB" w14:textId="77777777" w:rsidR="00314029" w:rsidRDefault="00314029" w:rsidP="00314029">
      <w:pPr>
        <w:rPr>
          <w:bCs/>
        </w:rPr>
      </w:pPr>
    </w:p>
    <w:p w14:paraId="0F30D77B" w14:textId="20F70826" w:rsidR="00314029" w:rsidRDefault="00314029" w:rsidP="00314029">
      <w:pPr>
        <w:rPr>
          <w:bCs/>
        </w:rPr>
      </w:pPr>
      <w:r>
        <w:rPr>
          <w:bCs/>
        </w:rPr>
        <w:lastRenderedPageBreak/>
        <w:t xml:space="preserve">There were issues with resourcing with a lack of strategic oversight and </w:t>
      </w:r>
      <w:r w:rsidR="000E20FD">
        <w:rPr>
          <w:bCs/>
        </w:rPr>
        <w:t>little e</w:t>
      </w:r>
      <w:r>
        <w:rPr>
          <w:bCs/>
        </w:rPr>
        <w:t xml:space="preserve">vidence that case resources were managed effectively or there was a clear understanding of resource needs by case controllers and senior managers. </w:t>
      </w:r>
      <w:r w:rsidRPr="00AD0F83">
        <w:rPr>
          <w:bCs/>
        </w:rPr>
        <w:t xml:space="preserve">Whilst there </w:t>
      </w:r>
      <w:r w:rsidR="000E20FD">
        <w:rPr>
          <w:bCs/>
        </w:rPr>
        <w:t>wa</w:t>
      </w:r>
      <w:r w:rsidRPr="00AD0F83">
        <w:rPr>
          <w:bCs/>
        </w:rPr>
        <w:t>s a strategic and tactical co-ordination group it d</w:t>
      </w:r>
      <w:r w:rsidR="00D334D4">
        <w:rPr>
          <w:bCs/>
        </w:rPr>
        <w:t>id</w:t>
      </w:r>
      <w:r w:rsidRPr="00AD0F83">
        <w:rPr>
          <w:bCs/>
        </w:rPr>
        <w:t xml:space="preserve"> not examine cross-team resourcing. </w:t>
      </w:r>
      <w:r>
        <w:rPr>
          <w:bCs/>
        </w:rPr>
        <w:t xml:space="preserve">It was our view that the </w:t>
      </w:r>
      <w:r w:rsidRPr="00AD0F83">
        <w:rPr>
          <w:bCs/>
        </w:rPr>
        <w:t>SFO need</w:t>
      </w:r>
      <w:r>
        <w:rPr>
          <w:bCs/>
        </w:rPr>
        <w:t>ed</w:t>
      </w:r>
      <w:r w:rsidRPr="00AD0F83">
        <w:rPr>
          <w:bCs/>
        </w:rPr>
        <w:t xml:space="preserve"> to develop a strategic approach to resourcing and case management.</w:t>
      </w:r>
    </w:p>
    <w:p w14:paraId="5FC74DF1" w14:textId="77777777" w:rsidR="00314029" w:rsidRDefault="00314029" w:rsidP="00314029">
      <w:pPr>
        <w:rPr>
          <w:bCs/>
        </w:rPr>
      </w:pPr>
    </w:p>
    <w:p w14:paraId="7C060298" w14:textId="4CC35242" w:rsidR="00314029" w:rsidRDefault="00314029" w:rsidP="00314029">
      <w:pPr>
        <w:rPr>
          <w:bCs/>
        </w:rPr>
      </w:pPr>
      <w:r>
        <w:rPr>
          <w:bCs/>
        </w:rPr>
        <w:t>Case assurance and oversight need</w:t>
      </w:r>
      <w:r w:rsidR="000E20FD">
        <w:rPr>
          <w:bCs/>
        </w:rPr>
        <w:t>ed</w:t>
      </w:r>
      <w:r>
        <w:rPr>
          <w:bCs/>
        </w:rPr>
        <w:t xml:space="preserve"> improvement. </w:t>
      </w:r>
      <w:r w:rsidR="000E20FD">
        <w:rPr>
          <w:bCs/>
        </w:rPr>
        <w:t>T</w:t>
      </w:r>
      <w:r>
        <w:rPr>
          <w:bCs/>
        </w:rPr>
        <w:t>here we</w:t>
      </w:r>
      <w:r w:rsidRPr="00AD0F83">
        <w:rPr>
          <w:bCs/>
        </w:rPr>
        <w:t xml:space="preserve">re various strands to the oversight and assurance of casework, including case review panels, Heads of Divisions’ meetings with case teams, </w:t>
      </w:r>
      <w:r>
        <w:rPr>
          <w:bCs/>
        </w:rPr>
        <w:t xml:space="preserve">and </w:t>
      </w:r>
      <w:r w:rsidRPr="00AD0F83">
        <w:rPr>
          <w:bCs/>
        </w:rPr>
        <w:t>peer review. Many of the opportunities for assurance tend</w:t>
      </w:r>
      <w:r w:rsidR="000E20FD">
        <w:rPr>
          <w:bCs/>
        </w:rPr>
        <w:t>ed</w:t>
      </w:r>
      <w:r w:rsidRPr="00AD0F83">
        <w:rPr>
          <w:bCs/>
        </w:rPr>
        <w:t xml:space="preserve"> not to have a specific focus on case progression and look</w:t>
      </w:r>
      <w:r w:rsidR="00D334D4">
        <w:rPr>
          <w:bCs/>
        </w:rPr>
        <w:t>ing</w:t>
      </w:r>
      <w:r w:rsidRPr="00AD0F83">
        <w:rPr>
          <w:bCs/>
        </w:rPr>
        <w:t xml:space="preserve"> at the entirety of the case. We found that case review panels varied in frequency and depth of analysis and tend</w:t>
      </w:r>
      <w:r>
        <w:rPr>
          <w:bCs/>
        </w:rPr>
        <w:t>ed</w:t>
      </w:r>
      <w:r w:rsidRPr="00AD0F83">
        <w:rPr>
          <w:bCs/>
        </w:rPr>
        <w:t xml:space="preserve"> to be more focussed on legal issues than case progression. We set out that Heads of Division could do more to challenge, influence and quality assure cases that are not progressing effectively.</w:t>
      </w:r>
    </w:p>
    <w:p w14:paraId="0D9E7E94" w14:textId="77777777" w:rsidR="00314029" w:rsidRDefault="00314029" w:rsidP="00314029">
      <w:pPr>
        <w:rPr>
          <w:bCs/>
        </w:rPr>
      </w:pPr>
    </w:p>
    <w:p w14:paraId="146AA2E6" w14:textId="77777777" w:rsidR="00314029" w:rsidRDefault="00314029" w:rsidP="00314029">
      <w:pPr>
        <w:rPr>
          <w:bCs/>
        </w:rPr>
      </w:pPr>
      <w:r>
        <w:rPr>
          <w:bCs/>
        </w:rPr>
        <w:t>The 2019 report set out 7 recommendations:</w:t>
      </w:r>
    </w:p>
    <w:p w14:paraId="59F80EB2" w14:textId="77777777" w:rsidR="00314029" w:rsidRPr="00532C66" w:rsidRDefault="00314029" w:rsidP="00314029">
      <w:pPr>
        <w:numPr>
          <w:ilvl w:val="0"/>
          <w:numId w:val="23"/>
        </w:numPr>
        <w:rPr>
          <w:bCs/>
        </w:rPr>
      </w:pPr>
      <w:r w:rsidRPr="00532C66">
        <w:rPr>
          <w:bCs/>
        </w:rPr>
        <w:t>The Serious Fraud Office should develop a resourcing model that takes into account staff skills and time available to progress cases effectively.</w:t>
      </w:r>
    </w:p>
    <w:p w14:paraId="1C58A4E6" w14:textId="77777777" w:rsidR="00314029" w:rsidRPr="00532C66" w:rsidRDefault="00314029" w:rsidP="00314029">
      <w:pPr>
        <w:numPr>
          <w:ilvl w:val="0"/>
          <w:numId w:val="23"/>
        </w:numPr>
        <w:rPr>
          <w:bCs/>
        </w:rPr>
      </w:pPr>
      <w:r w:rsidRPr="00532C66">
        <w:rPr>
          <w:bCs/>
        </w:rPr>
        <w:t>The Serious Fraud Office should review resourcing in a holistic manner to ensure equity across cases in allocation of the teams and skills and reconsider allocation of the case controller and team when it becomes apparent that cases are not being taken forward promptly after acceptance.</w:t>
      </w:r>
    </w:p>
    <w:p w14:paraId="0FBAC40E" w14:textId="77777777" w:rsidR="00314029" w:rsidRPr="00532C66" w:rsidRDefault="00314029" w:rsidP="00314029">
      <w:pPr>
        <w:numPr>
          <w:ilvl w:val="0"/>
          <w:numId w:val="23"/>
        </w:numPr>
        <w:rPr>
          <w:bCs/>
        </w:rPr>
      </w:pPr>
      <w:r w:rsidRPr="00532C66">
        <w:rPr>
          <w:bCs/>
        </w:rPr>
        <w:t>The Serious Fraud Office should review resourcing across divisions to ensure that resources are allocated according to case needs, and in such a way that when changes are required, there is as little disruption as possible to case progression.</w:t>
      </w:r>
    </w:p>
    <w:p w14:paraId="0AFFFEEB" w14:textId="77777777" w:rsidR="00314029" w:rsidRPr="00532C66" w:rsidRDefault="00314029" w:rsidP="00314029">
      <w:pPr>
        <w:numPr>
          <w:ilvl w:val="0"/>
          <w:numId w:val="23"/>
        </w:numPr>
        <w:rPr>
          <w:bCs/>
        </w:rPr>
      </w:pPr>
      <w:r w:rsidRPr="00532C66">
        <w:rPr>
          <w:bCs/>
        </w:rPr>
        <w:t>The Serious Fraud Office should be clear about the use of independent counsel, including guidance for case controllers on their deployment and monitoring, and a mechanism for evaluating the value for money they provide.</w:t>
      </w:r>
    </w:p>
    <w:p w14:paraId="19E328D5" w14:textId="06BF6A8E" w:rsidR="00314029" w:rsidRPr="00532C66" w:rsidRDefault="00314029" w:rsidP="00314029">
      <w:pPr>
        <w:numPr>
          <w:ilvl w:val="0"/>
          <w:numId w:val="23"/>
        </w:numPr>
        <w:rPr>
          <w:bCs/>
        </w:rPr>
      </w:pPr>
      <w:r w:rsidRPr="00532C66">
        <w:rPr>
          <w:bCs/>
        </w:rPr>
        <w:t>The Serious Fraud Office should develop understanding across the casework divisions of the impact of seizures on the digital forensic unit, and the need to be proportionate in their demands and expectations of this unit. This should be accompanied by measures to significantly reduce the impact of current delays on case progression.</w:t>
      </w:r>
    </w:p>
    <w:p w14:paraId="3AA23458" w14:textId="77777777" w:rsidR="00314029" w:rsidRPr="00532C66" w:rsidRDefault="00314029" w:rsidP="00314029">
      <w:pPr>
        <w:numPr>
          <w:ilvl w:val="0"/>
          <w:numId w:val="23"/>
        </w:numPr>
        <w:rPr>
          <w:bCs/>
        </w:rPr>
      </w:pPr>
      <w:r w:rsidRPr="00532C66">
        <w:rPr>
          <w:bCs/>
        </w:rPr>
        <w:t>The Serious Fraud Office should consider how it can improve the focus and delivery of training to support case progression. The Serious Fraud Office needs to develop a programme of learning and development that delivers the core skills for effective case progression.</w:t>
      </w:r>
    </w:p>
    <w:p w14:paraId="7BBED9F3" w14:textId="77777777" w:rsidR="00314029" w:rsidRPr="00532C66" w:rsidRDefault="00314029" w:rsidP="00314029">
      <w:pPr>
        <w:numPr>
          <w:ilvl w:val="0"/>
          <w:numId w:val="23"/>
        </w:numPr>
        <w:rPr>
          <w:bCs/>
        </w:rPr>
      </w:pPr>
      <w:r w:rsidRPr="00532C66">
        <w:rPr>
          <w:bCs/>
        </w:rPr>
        <w:t>Heads of Division should set and monitor key milestones in the investigation and prosecution of cases and should enforce compliance with the operational handbook.</w:t>
      </w:r>
    </w:p>
    <w:p w14:paraId="63BC3224" w14:textId="77777777" w:rsidR="00314029" w:rsidRPr="000272D7" w:rsidRDefault="00314029" w:rsidP="00314029">
      <w:pPr>
        <w:rPr>
          <w:bCs/>
        </w:rPr>
      </w:pPr>
    </w:p>
    <w:p w14:paraId="365272C8" w14:textId="77777777" w:rsidR="00314029" w:rsidRDefault="00314029" w:rsidP="00314029">
      <w:pPr>
        <w:autoSpaceDE w:val="0"/>
        <w:autoSpaceDN w:val="0"/>
        <w:adjustRightInd w:val="0"/>
        <w:rPr>
          <w:rFonts w:cs="Delicious-Roman"/>
          <w:b/>
        </w:rPr>
      </w:pPr>
      <w:r w:rsidRPr="00B82644">
        <w:rPr>
          <w:rFonts w:cs="Delicious-Roman"/>
          <w:b/>
        </w:rPr>
        <w:t>Context</w:t>
      </w:r>
    </w:p>
    <w:p w14:paraId="140A36CE" w14:textId="77777777" w:rsidR="00314029" w:rsidRDefault="00314029" w:rsidP="00314029">
      <w:pPr>
        <w:autoSpaceDE w:val="0"/>
        <w:autoSpaceDN w:val="0"/>
        <w:adjustRightInd w:val="0"/>
        <w:rPr>
          <w:rFonts w:cs="Delicious-Roman"/>
          <w:b/>
        </w:rPr>
      </w:pPr>
    </w:p>
    <w:p w14:paraId="66E52FA3" w14:textId="35A5BB71" w:rsidR="00314029" w:rsidRDefault="00314029" w:rsidP="00314029">
      <w:pPr>
        <w:autoSpaceDE w:val="0"/>
        <w:autoSpaceDN w:val="0"/>
        <w:adjustRightInd w:val="0"/>
        <w:rPr>
          <w:rFonts w:cs="Delicious-Roman"/>
          <w:bCs/>
        </w:rPr>
      </w:pPr>
      <w:r>
        <w:rPr>
          <w:rFonts w:cs="Delicious-Roman"/>
          <w:bCs/>
        </w:rPr>
        <w:t>HMCPSI committed in its 2020-21 business plan to undertake a follow-up inspection to assess the progress made by the SFO to implement change to address the recommendations set out above. However due to the issues of the pandemic, and two high profile case failures (Unaoil and Serco) which were subject to independent reviews, HMCPSI delayed plans to conduct the follow-up inspection. The t</w:t>
      </w:r>
      <w:r w:rsidR="00273A61">
        <w:rPr>
          <w:rFonts w:cs="Delicious-Roman"/>
          <w:bCs/>
        </w:rPr>
        <w:t>wo</w:t>
      </w:r>
      <w:r>
        <w:rPr>
          <w:rFonts w:cs="Delicious-Roman"/>
          <w:bCs/>
        </w:rPr>
        <w:t xml:space="preserve"> reviews were published in July 2022 and both made a series of recommendations that repeated</w:t>
      </w:r>
      <w:r w:rsidR="00D334D4">
        <w:rPr>
          <w:rFonts w:cs="Delicious-Roman"/>
          <w:bCs/>
        </w:rPr>
        <w:t>,</w:t>
      </w:r>
      <w:r>
        <w:rPr>
          <w:rFonts w:cs="Delicious-Roman"/>
          <w:bCs/>
        </w:rPr>
        <w:t xml:space="preserve"> to some degree</w:t>
      </w:r>
      <w:r w:rsidR="00D334D4">
        <w:rPr>
          <w:rFonts w:cs="Delicious-Roman"/>
          <w:bCs/>
        </w:rPr>
        <w:t>,</w:t>
      </w:r>
      <w:r>
        <w:rPr>
          <w:rFonts w:cs="Delicious-Roman"/>
          <w:bCs/>
        </w:rPr>
        <w:t xml:space="preserve"> the findings of the 2019 HMCPSI case progression inspection. </w:t>
      </w:r>
      <w:r w:rsidR="000E20FD">
        <w:rPr>
          <w:rFonts w:cs="Delicious-Roman"/>
          <w:bCs/>
        </w:rPr>
        <w:t>T</w:t>
      </w:r>
      <w:r>
        <w:rPr>
          <w:rFonts w:cs="Delicious-Roman"/>
          <w:bCs/>
        </w:rPr>
        <w:t>he scope of the proposed follow-up has been discussed with the SFO and other stakeholders and will in part make an assessment of progress since 2019, but also in response to the findings in the two reviews.</w:t>
      </w:r>
    </w:p>
    <w:p w14:paraId="01615FE7" w14:textId="77777777" w:rsidR="00314029" w:rsidRDefault="00314029" w:rsidP="00314029">
      <w:pPr>
        <w:autoSpaceDE w:val="0"/>
        <w:autoSpaceDN w:val="0"/>
        <w:adjustRightInd w:val="0"/>
        <w:rPr>
          <w:rFonts w:cs="Delicious-Roman"/>
          <w:bCs/>
        </w:rPr>
      </w:pPr>
    </w:p>
    <w:p w14:paraId="0FA8D2AC" w14:textId="42A13D16" w:rsidR="00314029" w:rsidRDefault="00314029" w:rsidP="00314029">
      <w:pPr>
        <w:autoSpaceDE w:val="0"/>
        <w:autoSpaceDN w:val="0"/>
        <w:adjustRightInd w:val="0"/>
        <w:rPr>
          <w:rFonts w:cs="Delicious-Roman"/>
          <w:bCs/>
        </w:rPr>
      </w:pPr>
      <w:r w:rsidRPr="0027215C">
        <w:rPr>
          <w:rFonts w:cs="Delicious-Roman"/>
          <w:bCs/>
        </w:rPr>
        <w:lastRenderedPageBreak/>
        <w:t xml:space="preserve">It is clear from our discussions with SFO that they consider our recommendations in the 2019 report mirror some of the themes that have emerged from the two recent reviews and </w:t>
      </w:r>
      <w:r>
        <w:rPr>
          <w:rFonts w:cs="Delicious-Roman"/>
          <w:bCs/>
        </w:rPr>
        <w:t>a</w:t>
      </w:r>
      <w:r w:rsidR="00047681">
        <w:rPr>
          <w:rFonts w:cs="Delicious-Roman"/>
          <w:bCs/>
        </w:rPr>
        <w:t>ccept</w:t>
      </w:r>
      <w:r>
        <w:rPr>
          <w:rFonts w:cs="Delicious-Roman"/>
          <w:bCs/>
        </w:rPr>
        <w:t xml:space="preserve"> that </w:t>
      </w:r>
      <w:r w:rsidRPr="0027215C">
        <w:rPr>
          <w:rFonts w:cs="Delicious-Roman"/>
          <w:bCs/>
        </w:rPr>
        <w:t xml:space="preserve">our follow up inspection will provide them with independent confirmation that they are focussing on the right areas and making progress with all </w:t>
      </w:r>
      <w:r w:rsidR="00047681">
        <w:rPr>
          <w:rFonts w:cs="Delicious-Roman"/>
          <w:bCs/>
        </w:rPr>
        <w:t xml:space="preserve">recent and long standing </w:t>
      </w:r>
      <w:r w:rsidRPr="0027215C">
        <w:rPr>
          <w:rFonts w:cs="Delicious-Roman"/>
          <w:bCs/>
        </w:rPr>
        <w:t xml:space="preserve">recommendations. </w:t>
      </w:r>
      <w:r>
        <w:rPr>
          <w:rFonts w:cs="Delicious-Roman"/>
          <w:bCs/>
        </w:rPr>
        <w:t xml:space="preserve"> </w:t>
      </w:r>
      <w:r w:rsidRPr="0027215C">
        <w:rPr>
          <w:rFonts w:cs="Delicious-Roman"/>
          <w:bCs/>
        </w:rPr>
        <w:t>The SFO are keen for our follow up inspection to incorporate assessment of their implementation plan that they have developed to address the recommendations from both independent reviews. Their</w:t>
      </w:r>
      <w:r>
        <w:rPr>
          <w:rFonts w:cs="Delicious-Roman"/>
          <w:bCs/>
        </w:rPr>
        <w:t xml:space="preserve"> initial</w:t>
      </w:r>
      <w:r w:rsidRPr="0027215C">
        <w:rPr>
          <w:rFonts w:cs="Delicious-Roman"/>
          <w:bCs/>
        </w:rPr>
        <w:t xml:space="preserve"> plan </w:t>
      </w:r>
      <w:r>
        <w:rPr>
          <w:rFonts w:cs="Delicious-Roman"/>
          <w:bCs/>
        </w:rPr>
        <w:t xml:space="preserve">to address the concerns outlined in the Calvert-Smith and Altman reviews includes specific work streams on </w:t>
      </w:r>
      <w:r w:rsidRPr="0027215C">
        <w:rPr>
          <w:rFonts w:cs="Delicious-Roman"/>
          <w:bCs/>
        </w:rPr>
        <w:t xml:space="preserve">disclosure and five </w:t>
      </w:r>
      <w:r>
        <w:rPr>
          <w:rFonts w:cs="Delicious-Roman"/>
          <w:bCs/>
        </w:rPr>
        <w:t xml:space="preserve">distinct </w:t>
      </w:r>
      <w:r w:rsidRPr="0027215C">
        <w:rPr>
          <w:rFonts w:cs="Delicious-Roman"/>
          <w:bCs/>
        </w:rPr>
        <w:t xml:space="preserve">themes: </w:t>
      </w:r>
    </w:p>
    <w:p w14:paraId="5AA6DB56" w14:textId="77777777" w:rsidR="00314029" w:rsidRDefault="00314029" w:rsidP="00314029">
      <w:pPr>
        <w:pStyle w:val="ListParagraph"/>
        <w:numPr>
          <w:ilvl w:val="0"/>
          <w:numId w:val="24"/>
        </w:numPr>
        <w:autoSpaceDE w:val="0"/>
        <w:autoSpaceDN w:val="0"/>
        <w:adjustRightInd w:val="0"/>
        <w:rPr>
          <w:rFonts w:cs="Delicious-Roman"/>
          <w:bCs/>
        </w:rPr>
      </w:pPr>
      <w:r w:rsidRPr="0027215C">
        <w:rPr>
          <w:rFonts w:cs="Delicious-Roman"/>
          <w:bCs/>
        </w:rPr>
        <w:t xml:space="preserve">record keeping and case assurance; </w:t>
      </w:r>
    </w:p>
    <w:p w14:paraId="4E396931" w14:textId="77777777" w:rsidR="00314029" w:rsidRDefault="00314029" w:rsidP="00314029">
      <w:pPr>
        <w:pStyle w:val="ListParagraph"/>
        <w:numPr>
          <w:ilvl w:val="0"/>
          <w:numId w:val="24"/>
        </w:numPr>
        <w:autoSpaceDE w:val="0"/>
        <w:autoSpaceDN w:val="0"/>
        <w:adjustRightInd w:val="0"/>
        <w:rPr>
          <w:rFonts w:cs="Delicious-Roman"/>
          <w:bCs/>
        </w:rPr>
      </w:pPr>
      <w:r w:rsidRPr="0027215C">
        <w:rPr>
          <w:rFonts w:cs="Delicious-Roman"/>
          <w:bCs/>
        </w:rPr>
        <w:t xml:space="preserve">improving guidance, policies and training; </w:t>
      </w:r>
    </w:p>
    <w:p w14:paraId="0B855106" w14:textId="77777777" w:rsidR="00314029" w:rsidRDefault="00314029" w:rsidP="00314029">
      <w:pPr>
        <w:pStyle w:val="ListParagraph"/>
        <w:numPr>
          <w:ilvl w:val="0"/>
          <w:numId w:val="24"/>
        </w:numPr>
        <w:autoSpaceDE w:val="0"/>
        <w:autoSpaceDN w:val="0"/>
        <w:adjustRightInd w:val="0"/>
        <w:rPr>
          <w:rFonts w:cs="Delicious-Roman"/>
          <w:bCs/>
        </w:rPr>
      </w:pPr>
      <w:r w:rsidRPr="0027215C">
        <w:rPr>
          <w:rFonts w:cs="Delicious-Roman"/>
          <w:bCs/>
        </w:rPr>
        <w:t xml:space="preserve">compliance with policies; </w:t>
      </w:r>
    </w:p>
    <w:p w14:paraId="14820CF4" w14:textId="77777777" w:rsidR="00314029" w:rsidRDefault="00314029" w:rsidP="00314029">
      <w:pPr>
        <w:pStyle w:val="ListParagraph"/>
        <w:numPr>
          <w:ilvl w:val="0"/>
          <w:numId w:val="24"/>
        </w:numPr>
        <w:autoSpaceDE w:val="0"/>
        <w:autoSpaceDN w:val="0"/>
        <w:adjustRightInd w:val="0"/>
        <w:rPr>
          <w:rFonts w:cs="Delicious-Roman"/>
          <w:bCs/>
        </w:rPr>
      </w:pPr>
      <w:r w:rsidRPr="0027215C">
        <w:rPr>
          <w:rFonts w:cs="Delicious-Roman"/>
          <w:bCs/>
        </w:rPr>
        <w:t xml:space="preserve">roles &amp; responsibilities; and </w:t>
      </w:r>
    </w:p>
    <w:p w14:paraId="5C37A1D7" w14:textId="77777777" w:rsidR="00314029" w:rsidRPr="000272D7" w:rsidRDefault="00314029" w:rsidP="00314029">
      <w:pPr>
        <w:pStyle w:val="ListParagraph"/>
        <w:numPr>
          <w:ilvl w:val="0"/>
          <w:numId w:val="24"/>
        </w:numPr>
        <w:autoSpaceDE w:val="0"/>
        <w:autoSpaceDN w:val="0"/>
        <w:adjustRightInd w:val="0"/>
        <w:rPr>
          <w:rFonts w:cs="Delicious-Roman"/>
          <w:bCs/>
        </w:rPr>
      </w:pPr>
      <w:r w:rsidRPr="0027215C">
        <w:rPr>
          <w:rFonts w:cs="Delicious-Roman"/>
          <w:bCs/>
        </w:rPr>
        <w:t>resources.</w:t>
      </w:r>
    </w:p>
    <w:p w14:paraId="5D488D98" w14:textId="77777777" w:rsidR="00314029" w:rsidRDefault="00314029" w:rsidP="00314029">
      <w:pPr>
        <w:autoSpaceDE w:val="0"/>
        <w:autoSpaceDN w:val="0"/>
        <w:adjustRightInd w:val="0"/>
        <w:rPr>
          <w:rFonts w:cs="Delicious-Roman"/>
          <w:b/>
        </w:rPr>
      </w:pPr>
    </w:p>
    <w:p w14:paraId="436CEDEA" w14:textId="515923F8" w:rsidR="00314029" w:rsidRPr="0027215C" w:rsidRDefault="00314029" w:rsidP="00314029">
      <w:pPr>
        <w:autoSpaceDE w:val="0"/>
        <w:autoSpaceDN w:val="0"/>
        <w:adjustRightInd w:val="0"/>
        <w:rPr>
          <w:rFonts w:cs="Delicious-Roman"/>
          <w:bCs/>
        </w:rPr>
      </w:pPr>
      <w:r w:rsidRPr="0027215C">
        <w:rPr>
          <w:rFonts w:cs="Delicious-Roman"/>
          <w:bCs/>
        </w:rPr>
        <w:t>As disclosure featured heavily in both recent</w:t>
      </w:r>
      <w:r w:rsidR="00047681">
        <w:rPr>
          <w:rFonts w:cs="Delicious-Roman"/>
          <w:bCs/>
        </w:rPr>
        <w:t xml:space="preserve"> </w:t>
      </w:r>
      <w:r w:rsidRPr="0027215C">
        <w:rPr>
          <w:rFonts w:cs="Delicious-Roman"/>
          <w:bCs/>
        </w:rPr>
        <w:t xml:space="preserve">reviews, we will need </w:t>
      </w:r>
      <w:r w:rsidR="00047681">
        <w:rPr>
          <w:rFonts w:cs="Delicious-Roman"/>
          <w:bCs/>
        </w:rPr>
        <w:t xml:space="preserve">to </w:t>
      </w:r>
      <w:r>
        <w:rPr>
          <w:rFonts w:cs="Delicious-Roman"/>
          <w:bCs/>
        </w:rPr>
        <w:t>examine</w:t>
      </w:r>
      <w:r w:rsidRPr="0027215C">
        <w:rPr>
          <w:rFonts w:cs="Delicious-Roman"/>
          <w:bCs/>
        </w:rPr>
        <w:t xml:space="preserve"> disclosure</w:t>
      </w:r>
      <w:r>
        <w:rPr>
          <w:rFonts w:cs="Delicious-Roman"/>
          <w:bCs/>
        </w:rPr>
        <w:t xml:space="preserve"> in more detail than in the 2019 case progression </w:t>
      </w:r>
      <w:r w:rsidR="00887100">
        <w:rPr>
          <w:rFonts w:cs="Delicious-Roman"/>
          <w:bCs/>
        </w:rPr>
        <w:t>inspection</w:t>
      </w:r>
      <w:r w:rsidRPr="0027215C">
        <w:rPr>
          <w:rFonts w:cs="Delicious-Roman"/>
          <w:bCs/>
        </w:rPr>
        <w:t xml:space="preserve">.  In the 2019 inspection, we examined disclosure from case acceptance to charge. With the follow up we will need to examine at least one case that goes beyond pre charge and has arrived at the door of the court. This will allow consideration of all </w:t>
      </w:r>
      <w:r w:rsidR="00047681">
        <w:rPr>
          <w:rFonts w:cs="Delicious-Roman"/>
          <w:bCs/>
        </w:rPr>
        <w:t>aspects of</w:t>
      </w:r>
      <w:r w:rsidRPr="0027215C">
        <w:rPr>
          <w:rFonts w:cs="Delicious-Roman"/>
          <w:bCs/>
        </w:rPr>
        <w:t xml:space="preserve"> disclosure including SFO/defence/court interaction in the process.</w:t>
      </w:r>
    </w:p>
    <w:p w14:paraId="44F000DA" w14:textId="77777777" w:rsidR="00314029" w:rsidRPr="0027215C" w:rsidRDefault="00314029" w:rsidP="00314029">
      <w:pPr>
        <w:autoSpaceDE w:val="0"/>
        <w:autoSpaceDN w:val="0"/>
        <w:adjustRightInd w:val="0"/>
        <w:rPr>
          <w:rFonts w:cs="Delicious-Roman"/>
          <w:bCs/>
        </w:rPr>
      </w:pPr>
    </w:p>
    <w:p w14:paraId="465D72AD" w14:textId="7A5BE7B2" w:rsidR="00314029" w:rsidRDefault="00314029" w:rsidP="00314029">
      <w:pPr>
        <w:autoSpaceDE w:val="0"/>
        <w:autoSpaceDN w:val="0"/>
        <w:adjustRightInd w:val="0"/>
        <w:rPr>
          <w:rFonts w:cs="Delicious-Roman"/>
          <w:bCs/>
        </w:rPr>
      </w:pPr>
      <w:r w:rsidRPr="0027215C">
        <w:rPr>
          <w:rFonts w:cs="Delicious-Roman"/>
          <w:bCs/>
        </w:rPr>
        <w:t>We are aware from our inspection on SFO leadership (also</w:t>
      </w:r>
      <w:r>
        <w:rPr>
          <w:rFonts w:cs="Delicious-Roman"/>
          <w:bCs/>
        </w:rPr>
        <w:t xml:space="preserve"> published</w:t>
      </w:r>
      <w:r w:rsidRPr="0027215C">
        <w:rPr>
          <w:rFonts w:cs="Delicious-Roman"/>
          <w:bCs/>
        </w:rPr>
        <w:t xml:space="preserve"> in 2019) that there are </w:t>
      </w:r>
      <w:r w:rsidR="00047681">
        <w:rPr>
          <w:rFonts w:cs="Delicious-Roman"/>
          <w:bCs/>
        </w:rPr>
        <w:t xml:space="preserve">continuing </w:t>
      </w:r>
      <w:r w:rsidRPr="0027215C">
        <w:rPr>
          <w:rFonts w:cs="Delicious-Roman"/>
          <w:bCs/>
        </w:rPr>
        <w:t xml:space="preserve">cultural </w:t>
      </w:r>
      <w:r w:rsidR="00047681">
        <w:rPr>
          <w:rFonts w:cs="Delicious-Roman"/>
          <w:bCs/>
        </w:rPr>
        <w:t>challenges</w:t>
      </w:r>
      <w:r w:rsidRPr="0027215C">
        <w:rPr>
          <w:rFonts w:cs="Delicious-Roman"/>
          <w:bCs/>
        </w:rPr>
        <w:t xml:space="preserve"> within the SFO</w:t>
      </w:r>
      <w:r>
        <w:rPr>
          <w:rFonts w:cs="Delicious-Roman"/>
          <w:bCs/>
        </w:rPr>
        <w:t>.</w:t>
      </w:r>
      <w:r w:rsidRPr="0027215C">
        <w:rPr>
          <w:rFonts w:cs="Delicious-Roman"/>
          <w:bCs/>
        </w:rPr>
        <w:t xml:space="preserve"> Culture and leadership will need to be a separate</w:t>
      </w:r>
      <w:r w:rsidR="000E20FD">
        <w:rPr>
          <w:rFonts w:cs="Delicious-Roman"/>
          <w:bCs/>
        </w:rPr>
        <w:t xml:space="preserve"> follow-up</w:t>
      </w:r>
      <w:r w:rsidRPr="0027215C">
        <w:rPr>
          <w:rFonts w:cs="Delicious-Roman"/>
          <w:bCs/>
        </w:rPr>
        <w:t xml:space="preserve"> inspection to cover it fully, but </w:t>
      </w:r>
      <w:r>
        <w:rPr>
          <w:rFonts w:cs="Delicious-Roman"/>
          <w:bCs/>
        </w:rPr>
        <w:t xml:space="preserve">it is inevitable that during the course of this </w:t>
      </w:r>
      <w:r w:rsidR="000E20FD">
        <w:rPr>
          <w:rFonts w:cs="Delicious-Roman"/>
          <w:bCs/>
        </w:rPr>
        <w:t xml:space="preserve">case progression </w:t>
      </w:r>
      <w:r>
        <w:rPr>
          <w:rFonts w:cs="Delicious-Roman"/>
          <w:bCs/>
        </w:rPr>
        <w:t xml:space="preserve">follow-up </w:t>
      </w:r>
      <w:r w:rsidRPr="0027215C">
        <w:rPr>
          <w:rFonts w:cs="Delicious-Roman"/>
          <w:bCs/>
        </w:rPr>
        <w:t xml:space="preserve">we will come across issues surrounding </w:t>
      </w:r>
      <w:r>
        <w:rPr>
          <w:rFonts w:cs="Delicious-Roman"/>
          <w:bCs/>
        </w:rPr>
        <w:t>culture and leadership</w:t>
      </w:r>
      <w:r w:rsidRPr="0027215C">
        <w:rPr>
          <w:rFonts w:cs="Delicious-Roman"/>
          <w:bCs/>
        </w:rPr>
        <w:t xml:space="preserve"> during our inspection as we engage with case teams and others. By adding this </w:t>
      </w:r>
      <w:r w:rsidR="00047681">
        <w:rPr>
          <w:rFonts w:cs="Delicious-Roman"/>
          <w:bCs/>
        </w:rPr>
        <w:t xml:space="preserve">issue, </w:t>
      </w:r>
      <w:r w:rsidRPr="0027215C">
        <w:rPr>
          <w:rFonts w:cs="Delicious-Roman"/>
          <w:bCs/>
        </w:rPr>
        <w:t>to some extent to th</w:t>
      </w:r>
      <w:r w:rsidR="00047681">
        <w:rPr>
          <w:rFonts w:cs="Delicious-Roman"/>
          <w:bCs/>
        </w:rPr>
        <w:t>is</w:t>
      </w:r>
      <w:r w:rsidR="005B5138">
        <w:rPr>
          <w:rFonts w:cs="Delicious-Roman"/>
          <w:bCs/>
        </w:rPr>
        <w:t xml:space="preserve"> first </w:t>
      </w:r>
      <w:r w:rsidRPr="0027215C">
        <w:rPr>
          <w:rFonts w:cs="Delicious-Roman"/>
          <w:bCs/>
        </w:rPr>
        <w:t xml:space="preserve"> scope</w:t>
      </w:r>
      <w:r w:rsidR="00047681">
        <w:rPr>
          <w:rFonts w:cs="Delicious-Roman"/>
          <w:bCs/>
        </w:rPr>
        <w:t>,</w:t>
      </w:r>
      <w:r w:rsidRPr="0027215C">
        <w:rPr>
          <w:rFonts w:cs="Delicious-Roman"/>
          <w:bCs/>
        </w:rPr>
        <w:t xml:space="preserve"> we w</w:t>
      </w:r>
      <w:r w:rsidR="00047681">
        <w:rPr>
          <w:rFonts w:cs="Delicious-Roman"/>
          <w:bCs/>
        </w:rPr>
        <w:t>ill</w:t>
      </w:r>
      <w:r w:rsidRPr="0027215C">
        <w:rPr>
          <w:rFonts w:cs="Delicious-Roman"/>
          <w:bCs/>
        </w:rPr>
        <w:t xml:space="preserve"> be abl</w:t>
      </w:r>
      <w:r w:rsidR="00047681">
        <w:rPr>
          <w:rFonts w:cs="Delicious-Roman"/>
          <w:bCs/>
        </w:rPr>
        <w:t>e to keep the SFO and the Law Officers informed of the long</w:t>
      </w:r>
      <w:r w:rsidR="005B5138">
        <w:rPr>
          <w:rFonts w:cs="Delicious-Roman"/>
          <w:bCs/>
        </w:rPr>
        <w:t>-</w:t>
      </w:r>
      <w:r w:rsidR="00047681">
        <w:rPr>
          <w:rFonts w:cs="Delicious-Roman"/>
          <w:bCs/>
        </w:rPr>
        <w:t xml:space="preserve">term progress </w:t>
      </w:r>
      <w:r w:rsidR="005B5138">
        <w:rPr>
          <w:rFonts w:cs="Delicious-Roman"/>
          <w:bCs/>
        </w:rPr>
        <w:t>in respect of this critical issue.</w:t>
      </w:r>
      <w:r w:rsidR="00047681">
        <w:rPr>
          <w:rFonts w:cs="Delicious-Roman"/>
          <w:bCs/>
        </w:rPr>
        <w:t xml:space="preserve"> </w:t>
      </w:r>
    </w:p>
    <w:p w14:paraId="32D4A222" w14:textId="77777777" w:rsidR="003F5551" w:rsidRPr="000272D7" w:rsidRDefault="003F5551" w:rsidP="00314029">
      <w:pPr>
        <w:autoSpaceDE w:val="0"/>
        <w:autoSpaceDN w:val="0"/>
        <w:adjustRightInd w:val="0"/>
        <w:rPr>
          <w:rFonts w:cs="Delicious-Roman"/>
          <w:bCs/>
        </w:rPr>
      </w:pPr>
    </w:p>
    <w:p w14:paraId="3ECBBA5A" w14:textId="77777777" w:rsidR="00EA4C1C" w:rsidRPr="00B82644" w:rsidRDefault="00EA4C1C" w:rsidP="0076489D">
      <w:pPr>
        <w:rPr>
          <w:b/>
        </w:rPr>
      </w:pPr>
      <w:r w:rsidRPr="00B82644">
        <w:rPr>
          <w:b/>
        </w:rPr>
        <w:t>The Inspection Question</w:t>
      </w:r>
    </w:p>
    <w:p w14:paraId="28B8EEC1" w14:textId="77777777" w:rsidR="00B82644" w:rsidRDefault="00B82644" w:rsidP="00B82644"/>
    <w:p w14:paraId="2141BF37" w14:textId="31F40854" w:rsidR="00A77933" w:rsidRPr="00B82644" w:rsidRDefault="00A77933" w:rsidP="00B82644">
      <w:r>
        <w:t xml:space="preserve">Has the SFO made progress since the 2019 HMCPSI case progression inspection; have recommendations been implemented? Do the </w:t>
      </w:r>
      <w:r w:rsidR="00D31889">
        <w:t xml:space="preserve">SFO </w:t>
      </w:r>
      <w:r w:rsidR="00CD0992">
        <w:t xml:space="preserve">have a grip on </w:t>
      </w:r>
      <w:r w:rsidR="00AB11F9">
        <w:t xml:space="preserve">the </w:t>
      </w:r>
      <w:r w:rsidR="0022658B">
        <w:t xml:space="preserve">case progression </w:t>
      </w:r>
      <w:r>
        <w:t xml:space="preserve">issues </w:t>
      </w:r>
      <w:r w:rsidR="00053833">
        <w:t xml:space="preserve">raised </w:t>
      </w:r>
      <w:r>
        <w:t xml:space="preserve">in </w:t>
      </w:r>
      <w:r w:rsidR="009B2A9A">
        <w:t>recent case failures</w:t>
      </w:r>
      <w:r>
        <w:t xml:space="preserve">, </w:t>
      </w:r>
      <w:r w:rsidR="00053833">
        <w:t xml:space="preserve">and have a </w:t>
      </w:r>
      <w:r w:rsidR="00801D99">
        <w:t>judicious</w:t>
      </w:r>
      <w:r w:rsidR="00D91757">
        <w:t xml:space="preserve"> plan to </w:t>
      </w:r>
      <w:r w:rsidR="009D541A">
        <w:t>minimise</w:t>
      </w:r>
      <w:r w:rsidR="00D91757">
        <w:t xml:space="preserve"> </w:t>
      </w:r>
      <w:r w:rsidR="009D541A">
        <w:t xml:space="preserve">further </w:t>
      </w:r>
      <w:r>
        <w:t xml:space="preserve">risks to the SFO? </w:t>
      </w:r>
    </w:p>
    <w:p w14:paraId="3EBB9A5E" w14:textId="77777777" w:rsidR="00EA4C1C" w:rsidRPr="00B82644" w:rsidRDefault="00EA4C1C" w:rsidP="00B82644"/>
    <w:p w14:paraId="3E1DCF1B" w14:textId="77777777" w:rsidR="00EA4C1C" w:rsidRPr="00B82644" w:rsidRDefault="00A51525" w:rsidP="00B82644">
      <w:pPr>
        <w:rPr>
          <w:b/>
        </w:rPr>
      </w:pPr>
      <w:r w:rsidRPr="00B82644">
        <w:rPr>
          <w:b/>
        </w:rPr>
        <w:t>Aims</w:t>
      </w:r>
      <w:r w:rsidR="00EA4C1C" w:rsidRPr="00B82644">
        <w:rPr>
          <w:b/>
        </w:rPr>
        <w:t xml:space="preserve"> </w:t>
      </w:r>
    </w:p>
    <w:p w14:paraId="189F192D" w14:textId="77777777" w:rsidR="00B82644" w:rsidRDefault="00B82644" w:rsidP="00B82644"/>
    <w:p w14:paraId="2A958913" w14:textId="7858AD65" w:rsidR="00EA4C1C" w:rsidRDefault="00EA4C1C" w:rsidP="00B82644">
      <w:r w:rsidRPr="00B82644">
        <w:t xml:space="preserve">The aims of the </w:t>
      </w:r>
      <w:r w:rsidR="000E20FD">
        <w:t>inspection</w:t>
      </w:r>
      <w:r w:rsidRPr="00B82644">
        <w:t xml:space="preserve"> are as follows:</w:t>
      </w:r>
    </w:p>
    <w:p w14:paraId="45B85A72" w14:textId="77777777" w:rsidR="0047111F" w:rsidRPr="00B82644" w:rsidRDefault="0047111F" w:rsidP="00B82644"/>
    <w:p w14:paraId="09913334" w14:textId="6BEC0152" w:rsidR="00A77933" w:rsidRDefault="00A51525" w:rsidP="00C87C1C">
      <w:pPr>
        <w:pStyle w:val="ListParagraph"/>
        <w:numPr>
          <w:ilvl w:val="0"/>
          <w:numId w:val="1"/>
        </w:numPr>
        <w:ind w:left="360"/>
      </w:pPr>
      <w:r w:rsidRPr="00B82644">
        <w:t xml:space="preserve">to </w:t>
      </w:r>
      <w:r w:rsidR="005F62CE" w:rsidRPr="00B82644">
        <w:t>determine</w:t>
      </w:r>
      <w:r w:rsidR="00DF7077" w:rsidRPr="00B82644">
        <w:t xml:space="preserve"> whether</w:t>
      </w:r>
      <w:r w:rsidR="005F62CE" w:rsidRPr="00B82644">
        <w:t xml:space="preserve"> </w:t>
      </w:r>
      <w:r w:rsidR="00A77933">
        <w:t>the recommendations made by HMCPSI in the 2019 case progression inspection have been implemented and resulted in improvement</w:t>
      </w:r>
      <w:r w:rsidR="000E20FD">
        <w:t>;</w:t>
      </w:r>
    </w:p>
    <w:p w14:paraId="57FB8652" w14:textId="77777777" w:rsidR="000E20FD" w:rsidRDefault="000E20FD" w:rsidP="000E20FD">
      <w:pPr>
        <w:pStyle w:val="ListParagraph"/>
        <w:ind w:left="360"/>
      </w:pPr>
    </w:p>
    <w:p w14:paraId="0CDC09CD" w14:textId="7B59F282" w:rsidR="00A77933" w:rsidRDefault="00A77933" w:rsidP="00C87C1C">
      <w:pPr>
        <w:pStyle w:val="ListParagraph"/>
        <w:numPr>
          <w:ilvl w:val="0"/>
          <w:numId w:val="1"/>
        </w:numPr>
        <w:ind w:left="360"/>
      </w:pPr>
      <w:r>
        <w:t xml:space="preserve">to assess, through a degree of case examination, whether the suggested changes included in the 2019 recommendations can be clearly seen as business as usual in the </w:t>
      </w:r>
      <w:r w:rsidR="000E20FD">
        <w:t xml:space="preserve">SFO </w:t>
      </w:r>
      <w:r>
        <w:t>operational management of cases, including:</w:t>
      </w:r>
    </w:p>
    <w:p w14:paraId="63481BCD" w14:textId="752C1824" w:rsidR="00A51525" w:rsidRPr="00B82644" w:rsidRDefault="00A77933" w:rsidP="000E20FD">
      <w:pPr>
        <w:pStyle w:val="ListParagraph"/>
        <w:numPr>
          <w:ilvl w:val="1"/>
          <w:numId w:val="1"/>
        </w:numPr>
      </w:pPr>
      <w:r>
        <w:t xml:space="preserve">to determine if </w:t>
      </w:r>
      <w:r w:rsidR="005F62CE" w:rsidRPr="00B82644">
        <w:t>there are appropriate</w:t>
      </w:r>
      <w:r w:rsidR="00A51525" w:rsidRPr="00B82644">
        <w:t xml:space="preserve"> and effective arrangements in place for </w:t>
      </w:r>
      <w:r w:rsidR="00DC1E79" w:rsidRPr="00B82644">
        <w:t>the timely progression of cases</w:t>
      </w:r>
      <w:r w:rsidR="0081378F" w:rsidRPr="00B82644">
        <w:t>, and that decisions are properly made, recorded and quality assured;</w:t>
      </w:r>
    </w:p>
    <w:p w14:paraId="7D343F5D" w14:textId="675CE867" w:rsidR="00A644F8" w:rsidRDefault="00A644F8" w:rsidP="000E20FD">
      <w:pPr>
        <w:pStyle w:val="ListParagraph"/>
        <w:numPr>
          <w:ilvl w:val="1"/>
          <w:numId w:val="1"/>
        </w:numPr>
      </w:pPr>
      <w:r w:rsidRPr="00B82644">
        <w:t>to determine whether there is effective leadership, management</w:t>
      </w:r>
      <w:r>
        <w:t xml:space="preserve">, quality assurance </w:t>
      </w:r>
      <w:r w:rsidRPr="00B82644">
        <w:t xml:space="preserve">and oversight of casework </w:t>
      </w:r>
      <w:r>
        <w:t xml:space="preserve">progression </w:t>
      </w:r>
      <w:r w:rsidRPr="00B82644">
        <w:t>to ensure case</w:t>
      </w:r>
      <w:r>
        <w:t>s</w:t>
      </w:r>
      <w:r w:rsidRPr="00B82644">
        <w:t xml:space="preserve"> are progressed efficiently, eff</w:t>
      </w:r>
      <w:r w:rsidR="00C87C1C">
        <w:t>ectively and in a timely manner;</w:t>
      </w:r>
    </w:p>
    <w:p w14:paraId="724CB7D8" w14:textId="77777777" w:rsidR="000E20FD" w:rsidRPr="00B82644" w:rsidRDefault="000E20FD" w:rsidP="000E20FD">
      <w:pPr>
        <w:pStyle w:val="ListParagraph"/>
        <w:ind w:left="1485"/>
      </w:pPr>
    </w:p>
    <w:p w14:paraId="3B748A4A" w14:textId="0435C00D" w:rsidR="00BF15ED" w:rsidRDefault="00A644F8" w:rsidP="000E20FD">
      <w:pPr>
        <w:pStyle w:val="ListParagraph"/>
        <w:numPr>
          <w:ilvl w:val="0"/>
          <w:numId w:val="1"/>
        </w:numPr>
      </w:pPr>
      <w:r w:rsidRPr="00B82644">
        <w:lastRenderedPageBreak/>
        <w:t xml:space="preserve">to determine </w:t>
      </w:r>
      <w:r w:rsidR="00983AFB">
        <w:t xml:space="preserve">whether the issues </w:t>
      </w:r>
      <w:r w:rsidR="00A70D26">
        <w:t xml:space="preserve">with case progression </w:t>
      </w:r>
      <w:r w:rsidR="00983AFB">
        <w:t xml:space="preserve">identified in the Calvert-Smith and Altman reviews </w:t>
      </w:r>
      <w:r w:rsidR="002E6EF1">
        <w:t xml:space="preserve">present </w:t>
      </w:r>
      <w:r w:rsidR="00775FB1">
        <w:t>risks</w:t>
      </w:r>
      <w:r w:rsidR="002E6EF1">
        <w:t xml:space="preserve"> to other casework </w:t>
      </w:r>
      <w:r w:rsidR="00775FB1">
        <w:t>or w</w:t>
      </w:r>
      <w:r w:rsidR="00B96A05">
        <w:t xml:space="preserve">hether </w:t>
      </w:r>
      <w:r w:rsidR="007466A1">
        <w:t xml:space="preserve">the </w:t>
      </w:r>
      <w:r w:rsidR="001103C7">
        <w:t xml:space="preserve">issues that were </w:t>
      </w:r>
      <w:r w:rsidR="000E20FD">
        <w:t xml:space="preserve">identified were </w:t>
      </w:r>
      <w:r w:rsidR="001103C7">
        <w:t xml:space="preserve">case specific. </w:t>
      </w:r>
      <w:r w:rsidR="00F01A70">
        <w:t xml:space="preserve"> </w:t>
      </w:r>
    </w:p>
    <w:p w14:paraId="1D155977" w14:textId="77777777" w:rsidR="000E20FD" w:rsidRDefault="000E20FD" w:rsidP="000E20FD">
      <w:pPr>
        <w:pStyle w:val="ListParagraph"/>
        <w:ind w:left="765"/>
      </w:pPr>
    </w:p>
    <w:p w14:paraId="1BFA9A2C" w14:textId="60269276" w:rsidR="00F65EF6" w:rsidRDefault="00485B06" w:rsidP="000E20FD">
      <w:pPr>
        <w:pStyle w:val="ListParagraph"/>
        <w:numPr>
          <w:ilvl w:val="0"/>
          <w:numId w:val="1"/>
        </w:numPr>
      </w:pPr>
      <w:r>
        <w:t xml:space="preserve">To assess the viability </w:t>
      </w:r>
      <w:r w:rsidR="00C810C1">
        <w:t xml:space="preserve">and sustainability </w:t>
      </w:r>
      <w:r>
        <w:t xml:space="preserve">of any </w:t>
      </w:r>
      <w:r w:rsidR="00C810C1">
        <w:t xml:space="preserve">change </w:t>
      </w:r>
      <w:r>
        <w:t xml:space="preserve">plans to address </w:t>
      </w:r>
      <w:r w:rsidR="004C6D8F">
        <w:t xml:space="preserve">the </w:t>
      </w:r>
      <w:r w:rsidR="00E61D9F">
        <w:t xml:space="preserve">case progression </w:t>
      </w:r>
      <w:r w:rsidR="004C6D8F">
        <w:t>issues raised</w:t>
      </w:r>
      <w:r w:rsidR="00CA41F2" w:rsidRPr="00CA41F2">
        <w:t xml:space="preserve"> in the Calvert-Smith and Altman reviews</w:t>
      </w:r>
      <w:r w:rsidR="0020196B">
        <w:t>.</w:t>
      </w:r>
    </w:p>
    <w:p w14:paraId="7EEDEE4F" w14:textId="28880D6B" w:rsidR="00983AFB" w:rsidRPr="00B82644" w:rsidRDefault="00983AFB" w:rsidP="000E20FD">
      <w:pPr>
        <w:pStyle w:val="ListParagraph"/>
        <w:ind w:left="360"/>
      </w:pPr>
    </w:p>
    <w:p w14:paraId="6CCC67B3" w14:textId="7C602080" w:rsidR="009F591B" w:rsidRPr="00B82644" w:rsidRDefault="009F591B" w:rsidP="00B82644">
      <w:r w:rsidRPr="00B82644">
        <w:t>The high</w:t>
      </w:r>
      <w:r w:rsidR="000E20FD">
        <w:t>-</w:t>
      </w:r>
      <w:r w:rsidRPr="00B82644">
        <w:t>level questions and criteria can be found at Annex A.</w:t>
      </w:r>
    </w:p>
    <w:p w14:paraId="78B323DA" w14:textId="77777777" w:rsidR="00EA4C1C" w:rsidRPr="00B82644" w:rsidRDefault="00EA4C1C" w:rsidP="00B82644">
      <w:pPr>
        <w:pStyle w:val="ListParagraph"/>
        <w:ind w:left="315"/>
      </w:pPr>
    </w:p>
    <w:p w14:paraId="0B735CB5" w14:textId="77777777" w:rsidR="00A51525" w:rsidRPr="00B82644" w:rsidRDefault="00A51525" w:rsidP="00B82644">
      <w:pPr>
        <w:rPr>
          <w:b/>
        </w:rPr>
      </w:pPr>
      <w:r w:rsidRPr="00B82644">
        <w:rPr>
          <w:b/>
        </w:rPr>
        <w:t>Methodology</w:t>
      </w:r>
    </w:p>
    <w:p w14:paraId="63B83EA1" w14:textId="77777777" w:rsidR="00B82644" w:rsidRDefault="00B82644" w:rsidP="00B82644">
      <w:pPr>
        <w:autoSpaceDE w:val="0"/>
        <w:autoSpaceDN w:val="0"/>
        <w:adjustRightInd w:val="0"/>
      </w:pPr>
    </w:p>
    <w:p w14:paraId="09FE7214" w14:textId="3DC0138F" w:rsidR="0076489D" w:rsidRDefault="00DF7077" w:rsidP="00B82644">
      <w:pPr>
        <w:autoSpaceDE w:val="0"/>
        <w:autoSpaceDN w:val="0"/>
        <w:adjustRightInd w:val="0"/>
      </w:pPr>
      <w:r w:rsidRPr="00B82644">
        <w:t>This</w:t>
      </w:r>
      <w:r w:rsidR="000E20FD">
        <w:t xml:space="preserve"> inspection</w:t>
      </w:r>
      <w:r w:rsidRPr="00B82644">
        <w:t xml:space="preserve"> will examine </w:t>
      </w:r>
      <w:r w:rsidR="0038150A" w:rsidRPr="00B82644">
        <w:rPr>
          <w:rFonts w:cs="Delicious-Roman"/>
        </w:rPr>
        <w:t xml:space="preserve">the relevant parts of a sample of casework files </w:t>
      </w:r>
      <w:r w:rsidR="0038150A" w:rsidRPr="00B82644">
        <w:t>as well as ‘</w:t>
      </w:r>
      <w:r w:rsidR="0038150A" w:rsidRPr="00B82644">
        <w:rPr>
          <w:rFonts w:cs="Delicious-Roman"/>
        </w:rPr>
        <w:t>real time’ observ</w:t>
      </w:r>
      <w:r w:rsidR="00B074D4" w:rsidRPr="00B82644">
        <w:rPr>
          <w:rFonts w:cs="Delicious-Roman"/>
        </w:rPr>
        <w:t>ation of processes such as the</w:t>
      </w:r>
      <w:r w:rsidR="0038150A" w:rsidRPr="00B82644">
        <w:rPr>
          <w:rFonts w:cs="Delicious-Roman"/>
        </w:rPr>
        <w:t xml:space="preserve"> case review </w:t>
      </w:r>
      <w:r w:rsidR="006C43C5">
        <w:rPr>
          <w:rFonts w:cs="Delicious-Roman"/>
        </w:rPr>
        <w:t>meetings</w:t>
      </w:r>
      <w:r w:rsidR="00BD1DC5">
        <w:rPr>
          <w:rFonts w:cs="Delicious-Roman"/>
        </w:rPr>
        <w:t>,</w:t>
      </w:r>
      <w:r w:rsidR="0038150A" w:rsidRPr="00B82644">
        <w:rPr>
          <w:rFonts w:cs="Delicious-Roman"/>
        </w:rPr>
        <w:t xml:space="preserve"> case </w:t>
      </w:r>
      <w:r w:rsidR="00A42ABF">
        <w:rPr>
          <w:rFonts w:cs="Delicious-Roman"/>
        </w:rPr>
        <w:t>team meetings</w:t>
      </w:r>
      <w:r w:rsidR="001C4125">
        <w:rPr>
          <w:rFonts w:cs="Delicious-Roman"/>
        </w:rPr>
        <w:t xml:space="preserve">, case </w:t>
      </w:r>
      <w:r w:rsidR="0038150A" w:rsidRPr="00B82644">
        <w:rPr>
          <w:rFonts w:cs="Delicious-Roman"/>
        </w:rPr>
        <w:t>conferences</w:t>
      </w:r>
      <w:r w:rsidR="00E9227E">
        <w:rPr>
          <w:rFonts w:cs="Delicious-Roman"/>
        </w:rPr>
        <w:t>, and supporting documentation</w:t>
      </w:r>
      <w:r w:rsidR="0038150A" w:rsidRPr="00B82644">
        <w:rPr>
          <w:rFonts w:cs="Delicious-Roman"/>
        </w:rPr>
        <w:t>. This work will primarily involve consideration of SFO generated case management documentation</w:t>
      </w:r>
      <w:r w:rsidR="00E54EA9">
        <w:rPr>
          <w:rFonts w:cs="Delicious-Roman"/>
        </w:rPr>
        <w:t xml:space="preserve"> such as the investigation strategy </w:t>
      </w:r>
      <w:r w:rsidR="001C4125">
        <w:rPr>
          <w:rFonts w:cs="Delicious-Roman"/>
        </w:rPr>
        <w:t xml:space="preserve">documents </w:t>
      </w:r>
      <w:r w:rsidR="00E54EA9">
        <w:rPr>
          <w:rFonts w:cs="Delicious-Roman"/>
        </w:rPr>
        <w:t>created at the outset and decision log</w:t>
      </w:r>
      <w:r w:rsidR="00D27C83">
        <w:rPr>
          <w:rFonts w:cs="Delicious-Roman"/>
        </w:rPr>
        <w:t>s</w:t>
      </w:r>
      <w:r w:rsidR="0038150A" w:rsidRPr="00B82644">
        <w:rPr>
          <w:rFonts w:cs="Delicious-Roman"/>
        </w:rPr>
        <w:t>, with findings validated by reference to other documentation</w:t>
      </w:r>
      <w:r w:rsidR="00E54EA9">
        <w:rPr>
          <w:rFonts w:cs="Delicious-Roman"/>
        </w:rPr>
        <w:t xml:space="preserve">, such as minutes from the case review </w:t>
      </w:r>
      <w:r w:rsidR="00D27C83">
        <w:rPr>
          <w:rFonts w:cs="Delicious-Roman"/>
        </w:rPr>
        <w:t xml:space="preserve">meetings </w:t>
      </w:r>
      <w:r w:rsidR="00E54EA9">
        <w:rPr>
          <w:rFonts w:cs="Delicious-Roman"/>
        </w:rPr>
        <w:t xml:space="preserve">and the </w:t>
      </w:r>
      <w:r w:rsidR="0021630F" w:rsidRPr="0021630F">
        <w:rPr>
          <w:rFonts w:cs="Delicious-Roman"/>
        </w:rPr>
        <w:t>documentation set out in the Operational Handbook</w:t>
      </w:r>
      <w:r w:rsidR="00E54EA9">
        <w:rPr>
          <w:rFonts w:cs="Delicious-Roman"/>
        </w:rPr>
        <w:t>,</w:t>
      </w:r>
      <w:r w:rsidR="0038150A" w:rsidRPr="00B82644">
        <w:rPr>
          <w:rFonts w:cs="Delicious-Roman"/>
        </w:rPr>
        <w:t xml:space="preserve"> and </w:t>
      </w:r>
      <w:r w:rsidR="005B7989">
        <w:rPr>
          <w:rFonts w:cs="Delicious-Roman"/>
        </w:rPr>
        <w:t xml:space="preserve">interviews with </w:t>
      </w:r>
      <w:r w:rsidR="0038150A" w:rsidRPr="00B82644">
        <w:rPr>
          <w:rFonts w:cs="Delicious-Roman"/>
        </w:rPr>
        <w:t>SFO casework staff.</w:t>
      </w:r>
      <w:r w:rsidR="0081378F" w:rsidRPr="00B82644">
        <w:rPr>
          <w:rFonts w:cs="Delicious-Roman"/>
        </w:rPr>
        <w:t xml:space="preserve"> The sample size will </w:t>
      </w:r>
      <w:r w:rsidR="002C5608">
        <w:rPr>
          <w:rFonts w:cs="Delicious-Roman"/>
        </w:rPr>
        <w:t xml:space="preserve">be </w:t>
      </w:r>
      <w:r w:rsidR="00EB1A9A">
        <w:rPr>
          <w:rFonts w:cs="Delicious-Roman"/>
        </w:rPr>
        <w:t>five</w:t>
      </w:r>
      <w:r w:rsidR="002C5608">
        <w:rPr>
          <w:rFonts w:cs="Delicious-Roman"/>
        </w:rPr>
        <w:t xml:space="preserve"> cases </w:t>
      </w:r>
      <w:r w:rsidR="004D144F">
        <w:rPr>
          <w:rFonts w:cs="Delicious-Roman"/>
        </w:rPr>
        <w:t>where the majority of case progression has taken place post our 2019 report</w:t>
      </w:r>
      <w:r w:rsidR="00E01E51">
        <w:rPr>
          <w:rFonts w:cs="Delicious-Roman"/>
        </w:rPr>
        <w:t>.</w:t>
      </w:r>
      <w:r w:rsidR="004D144F">
        <w:rPr>
          <w:rFonts w:cs="Delicious-Roman"/>
        </w:rPr>
        <w:t xml:space="preserve"> </w:t>
      </w:r>
      <w:r w:rsidR="00AE169D">
        <w:rPr>
          <w:rFonts w:cs="Delicious-Roman"/>
        </w:rPr>
        <w:t xml:space="preserve">The selected cases will be a </w:t>
      </w:r>
      <w:r w:rsidR="00A07ED4" w:rsidRPr="00B82644">
        <w:rPr>
          <w:rFonts w:cs="Delicious-Roman"/>
        </w:rPr>
        <w:t>mix of fraud</w:t>
      </w:r>
      <w:r w:rsidR="009F24E8">
        <w:rPr>
          <w:rFonts w:cs="Delicious-Roman"/>
        </w:rPr>
        <w:t>,</w:t>
      </w:r>
      <w:r w:rsidR="00A07ED4" w:rsidRPr="00B82644">
        <w:rPr>
          <w:rFonts w:cs="Delicious-Roman"/>
        </w:rPr>
        <w:t xml:space="preserve"> bribery </w:t>
      </w:r>
      <w:r w:rsidR="008905C9">
        <w:rPr>
          <w:rFonts w:cs="Delicious-Roman"/>
        </w:rPr>
        <w:t xml:space="preserve">and corruption </w:t>
      </w:r>
      <w:r w:rsidR="00A07ED4" w:rsidRPr="00B82644">
        <w:rPr>
          <w:rFonts w:cs="Delicious-Roman"/>
        </w:rPr>
        <w:t>offences across the teams.</w:t>
      </w:r>
      <w:r w:rsidR="004F771C" w:rsidRPr="00B82644">
        <w:rPr>
          <w:rFonts w:cs="Delicious-Roman"/>
        </w:rPr>
        <w:t xml:space="preserve"> </w:t>
      </w:r>
      <w:r w:rsidR="0081772F">
        <w:rPr>
          <w:rFonts w:cs="Delicious-Roman"/>
        </w:rPr>
        <w:t xml:space="preserve">In order to capture the elements of the case progression issues </w:t>
      </w:r>
      <w:r w:rsidR="00974164">
        <w:rPr>
          <w:rFonts w:cs="Delicious-Roman"/>
        </w:rPr>
        <w:t>raised by the two recent independent review</w:t>
      </w:r>
      <w:r w:rsidR="009046C2">
        <w:rPr>
          <w:rFonts w:cs="Delicious-Roman"/>
        </w:rPr>
        <w:t>s</w:t>
      </w:r>
      <w:r w:rsidR="00974164">
        <w:rPr>
          <w:rFonts w:cs="Delicious-Roman"/>
        </w:rPr>
        <w:t>, at least on</w:t>
      </w:r>
      <w:r w:rsidR="009046C2">
        <w:rPr>
          <w:rFonts w:cs="Delicious-Roman"/>
        </w:rPr>
        <w:t>e</w:t>
      </w:r>
      <w:r w:rsidR="00974164">
        <w:rPr>
          <w:rFonts w:cs="Delicious-Roman"/>
        </w:rPr>
        <w:t xml:space="preserve"> of the </w:t>
      </w:r>
      <w:r w:rsidR="00EB1A9A">
        <w:rPr>
          <w:rFonts w:cs="Delicious-Roman"/>
        </w:rPr>
        <w:t>five</w:t>
      </w:r>
      <w:r w:rsidR="00974164">
        <w:rPr>
          <w:rFonts w:cs="Delicious-Roman"/>
        </w:rPr>
        <w:t xml:space="preserve"> cases will be examined post charge</w:t>
      </w:r>
      <w:r w:rsidR="009E7436">
        <w:rPr>
          <w:rFonts w:cs="Delicious-Roman"/>
        </w:rPr>
        <w:t xml:space="preserve">. This departs from the remit of our 2019 inspection where we examined cases </w:t>
      </w:r>
      <w:r w:rsidR="009046C2">
        <w:rPr>
          <w:rFonts w:cs="Delicious-Roman"/>
        </w:rPr>
        <w:t xml:space="preserve">from case acceptance to </w:t>
      </w:r>
      <w:r w:rsidR="00066AFD">
        <w:rPr>
          <w:rFonts w:cs="Delicious-Roman"/>
        </w:rPr>
        <w:t xml:space="preserve">up to the point of </w:t>
      </w:r>
      <w:r w:rsidR="009046C2">
        <w:rPr>
          <w:rFonts w:cs="Delicious-Roman"/>
        </w:rPr>
        <w:t xml:space="preserve">charge. </w:t>
      </w:r>
    </w:p>
    <w:p w14:paraId="685BF35F" w14:textId="77777777" w:rsidR="00ED0116" w:rsidRDefault="00ED0116" w:rsidP="00B82644">
      <w:pPr>
        <w:autoSpaceDE w:val="0"/>
        <w:autoSpaceDN w:val="0"/>
        <w:adjustRightInd w:val="0"/>
      </w:pPr>
    </w:p>
    <w:p w14:paraId="2A9467E1" w14:textId="2058F7E9" w:rsidR="00ED0116" w:rsidRDefault="0021630F" w:rsidP="00B82644">
      <w:pPr>
        <w:autoSpaceDE w:val="0"/>
        <w:autoSpaceDN w:val="0"/>
        <w:adjustRightInd w:val="0"/>
      </w:pPr>
      <w:r>
        <w:t xml:space="preserve">It is </w:t>
      </w:r>
      <w:r w:rsidR="00FB5524">
        <w:t>proposed</w:t>
      </w:r>
      <w:r>
        <w:t xml:space="preserve"> that </w:t>
      </w:r>
      <w:r w:rsidR="00EF64C0">
        <w:t xml:space="preserve">one </w:t>
      </w:r>
      <w:r>
        <w:t xml:space="preserve">inspector </w:t>
      </w:r>
      <w:r w:rsidR="00FB5524">
        <w:t xml:space="preserve">will examine </w:t>
      </w:r>
      <w:r w:rsidR="00EF64C0">
        <w:t xml:space="preserve">a single case </w:t>
      </w:r>
      <w:r w:rsidR="00053BB2">
        <w:t xml:space="preserve">due to size and complexity and will seek the assistance of </w:t>
      </w:r>
      <w:r w:rsidR="006D2A74">
        <w:t>speaking to the case team directly</w:t>
      </w:r>
      <w:r w:rsidR="00D8425C">
        <w:t xml:space="preserve"> to </w:t>
      </w:r>
      <w:r w:rsidR="00334E28">
        <w:t xml:space="preserve">gain further insight into the cases that are </w:t>
      </w:r>
      <w:r w:rsidR="00053BB2">
        <w:t xml:space="preserve">not apparent from the case record. </w:t>
      </w:r>
      <w:r w:rsidR="00234C48">
        <w:t>A further inspector or the lead inspector will moderate the file examination to ensure there is a consistent approach</w:t>
      </w:r>
      <w:r w:rsidR="00E9227E">
        <w:t xml:space="preserve"> across the team</w:t>
      </w:r>
      <w:r w:rsidR="00234C48">
        <w:t>.</w:t>
      </w:r>
    </w:p>
    <w:p w14:paraId="1A61F529" w14:textId="77777777" w:rsidR="009E059D" w:rsidRPr="00B82644" w:rsidRDefault="009E059D" w:rsidP="00B82644">
      <w:pPr>
        <w:autoSpaceDE w:val="0"/>
        <w:autoSpaceDN w:val="0"/>
        <w:adjustRightInd w:val="0"/>
        <w:rPr>
          <w:rFonts w:cs="Delicious-Roman"/>
        </w:rPr>
      </w:pPr>
    </w:p>
    <w:p w14:paraId="3B06F83E" w14:textId="1308169B" w:rsidR="00947904" w:rsidRPr="00B82644" w:rsidRDefault="0038150A" w:rsidP="00B82644">
      <w:pPr>
        <w:autoSpaceDE w:val="0"/>
        <w:autoSpaceDN w:val="0"/>
        <w:adjustRightInd w:val="0"/>
      </w:pPr>
      <w:r w:rsidRPr="00B82644">
        <w:rPr>
          <w:rFonts w:cs="Delicious-Roman"/>
        </w:rPr>
        <w:t>The</w:t>
      </w:r>
      <w:r w:rsidR="00A07ED4" w:rsidRPr="00B82644">
        <w:rPr>
          <w:rFonts w:cs="Delicious-Roman"/>
        </w:rPr>
        <w:t xml:space="preserve"> fieldwork will </w:t>
      </w:r>
      <w:r w:rsidR="0076489D">
        <w:rPr>
          <w:rFonts w:cs="Delicious-Roman"/>
        </w:rPr>
        <w:t xml:space="preserve">also </w:t>
      </w:r>
      <w:r w:rsidR="00A07ED4" w:rsidRPr="00B82644">
        <w:rPr>
          <w:rFonts w:cs="Delicious-Roman"/>
        </w:rPr>
        <w:t>involve</w:t>
      </w:r>
      <w:r w:rsidRPr="00B82644">
        <w:rPr>
          <w:rFonts w:cs="Delicious-Roman"/>
        </w:rPr>
        <w:t xml:space="preserve"> consultation with relevant SFO staff and managers</w:t>
      </w:r>
      <w:r w:rsidR="009E059D" w:rsidRPr="00B82644">
        <w:rPr>
          <w:rFonts w:cs="Delicious-Roman"/>
        </w:rPr>
        <w:t>,</w:t>
      </w:r>
      <w:r w:rsidRPr="00B82644">
        <w:rPr>
          <w:rFonts w:cs="Delicious-Roman"/>
        </w:rPr>
        <w:t xml:space="preserve"> and identified external stakeholders</w:t>
      </w:r>
      <w:r w:rsidR="00E75FE6" w:rsidRPr="00B82644">
        <w:rPr>
          <w:rFonts w:cs="Delicious-Roman"/>
        </w:rPr>
        <w:t xml:space="preserve">, </w:t>
      </w:r>
      <w:r w:rsidR="00A07ED4" w:rsidRPr="00B82644">
        <w:rPr>
          <w:rFonts w:cs="Delicious-Roman"/>
        </w:rPr>
        <w:t>including</w:t>
      </w:r>
      <w:r w:rsidR="00E75FE6" w:rsidRPr="00B82644">
        <w:rPr>
          <w:rFonts w:cs="Delicious-Roman"/>
        </w:rPr>
        <w:t xml:space="preserve"> </w:t>
      </w:r>
      <w:r w:rsidR="00E01E51">
        <w:rPr>
          <w:rFonts w:cs="Delicious-Roman"/>
        </w:rPr>
        <w:t>d</w:t>
      </w:r>
      <w:r w:rsidR="00E75FE6" w:rsidRPr="00B82644">
        <w:rPr>
          <w:rFonts w:cs="Delicious-Roman"/>
        </w:rPr>
        <w:t xml:space="preserve">efence </w:t>
      </w:r>
      <w:r w:rsidR="00E01E51">
        <w:rPr>
          <w:rFonts w:cs="Delicious-Roman"/>
        </w:rPr>
        <w:t>practitioners and counsel</w:t>
      </w:r>
      <w:r w:rsidR="00A07ED4" w:rsidRPr="00B82644">
        <w:rPr>
          <w:rFonts w:cs="Delicious-Roman"/>
        </w:rPr>
        <w:t xml:space="preserve"> involved</w:t>
      </w:r>
      <w:r w:rsidR="00E01E51">
        <w:rPr>
          <w:rFonts w:cs="Delicious-Roman"/>
        </w:rPr>
        <w:t xml:space="preserve">. </w:t>
      </w:r>
    </w:p>
    <w:p w14:paraId="156E2DE7" w14:textId="77777777" w:rsidR="00D96D15" w:rsidRPr="00B82644" w:rsidRDefault="00D96D15" w:rsidP="00B82644"/>
    <w:p w14:paraId="3EE3C66B" w14:textId="1FC99206" w:rsidR="00A51525" w:rsidRPr="00B82644" w:rsidRDefault="00D96D15" w:rsidP="00B82644">
      <w:r w:rsidRPr="00B82644">
        <w:t xml:space="preserve">Internal documentation will be examined in relation to the governance and assurance of casework, and any relevant provision of training. There will </w:t>
      </w:r>
      <w:r w:rsidR="00E9227E">
        <w:t xml:space="preserve">be </w:t>
      </w:r>
      <w:r w:rsidRPr="00B82644">
        <w:t>examination of relevant supporting processes and systems.</w:t>
      </w:r>
    </w:p>
    <w:p w14:paraId="433FC5FF" w14:textId="77777777" w:rsidR="00E75FE6" w:rsidRDefault="00E75FE6" w:rsidP="00B82644">
      <w:pPr>
        <w:rPr>
          <w:b/>
        </w:rPr>
      </w:pPr>
    </w:p>
    <w:p w14:paraId="009B9A49" w14:textId="2A909C49" w:rsidR="008F6A59" w:rsidRPr="00B82644" w:rsidRDefault="008F6A59" w:rsidP="008F6A59">
      <w:r>
        <w:t xml:space="preserve">Deferred Prosecution Agreements </w:t>
      </w:r>
      <w:r w:rsidR="00E01E51">
        <w:t xml:space="preserve">are out of scope. </w:t>
      </w:r>
      <w:r>
        <w:t xml:space="preserve"> </w:t>
      </w:r>
    </w:p>
    <w:p w14:paraId="6C7AA368" w14:textId="77777777" w:rsidR="008F6A59" w:rsidRPr="00B82644" w:rsidRDefault="008F6A59" w:rsidP="00B82644">
      <w:pPr>
        <w:rPr>
          <w:b/>
        </w:rPr>
      </w:pPr>
    </w:p>
    <w:p w14:paraId="37DBB229" w14:textId="77777777" w:rsidR="00A51525" w:rsidRPr="00B82644" w:rsidRDefault="00A51525" w:rsidP="00B82644">
      <w:pPr>
        <w:rPr>
          <w:b/>
        </w:rPr>
      </w:pPr>
      <w:r w:rsidRPr="00B82644">
        <w:rPr>
          <w:b/>
        </w:rPr>
        <w:t>Resources</w:t>
      </w:r>
    </w:p>
    <w:p w14:paraId="024EAB23" w14:textId="77777777" w:rsidR="00B82644" w:rsidRDefault="00B82644" w:rsidP="00B82644"/>
    <w:p w14:paraId="1F0801D5" w14:textId="714A8DA6" w:rsidR="00A51525" w:rsidRPr="00B82644" w:rsidRDefault="00CB1149" w:rsidP="00B82644">
      <w:r w:rsidRPr="00B82644">
        <w:t>Once scoping has been completed there are four stages of this inspection each requiring a different level of resource</w:t>
      </w:r>
      <w:r w:rsidR="00A51525" w:rsidRPr="00B82644">
        <w:t>:</w:t>
      </w:r>
    </w:p>
    <w:p w14:paraId="113B10FD" w14:textId="77777777" w:rsidR="00A51525" w:rsidRPr="00B82644" w:rsidRDefault="00A51525" w:rsidP="00B82644"/>
    <w:p w14:paraId="220784C4" w14:textId="7E68AC0F" w:rsidR="00A51525" w:rsidRPr="00B82644" w:rsidRDefault="00D76072" w:rsidP="00B82644">
      <w:r w:rsidRPr="00B82644">
        <w:rPr>
          <w:u w:val="single"/>
        </w:rPr>
        <w:t>Setting-Up Phase</w:t>
      </w:r>
      <w:r w:rsidRPr="00B82644">
        <w:t>:.</w:t>
      </w:r>
      <w:r w:rsidR="00E75FE6" w:rsidRPr="00B82644">
        <w:t xml:space="preserve"> </w:t>
      </w:r>
      <w:r w:rsidR="00E9477D" w:rsidRPr="00E9477D">
        <w:t>Business Support will deal with arrangements for access to cases and laptops</w:t>
      </w:r>
      <w:r w:rsidR="00E9477D">
        <w:t xml:space="preserve">. </w:t>
      </w:r>
      <w:r w:rsidR="00662A1F">
        <w:t xml:space="preserve">The lead </w:t>
      </w:r>
      <w:r w:rsidR="00A5180B">
        <w:t xml:space="preserve">inspector </w:t>
      </w:r>
      <w:r w:rsidR="00E01E51">
        <w:t xml:space="preserve">will </w:t>
      </w:r>
      <w:r w:rsidR="00662A1F">
        <w:t xml:space="preserve">select </w:t>
      </w:r>
      <w:r w:rsidR="00BB6C5C">
        <w:t xml:space="preserve">cases to be examined and the commencement of file examination </w:t>
      </w:r>
      <w:r w:rsidR="00643987">
        <w:t xml:space="preserve">via remote access. </w:t>
      </w:r>
      <w:r w:rsidR="00670B4A" w:rsidRPr="00670B4A">
        <w:t xml:space="preserve">The examination of casework will </w:t>
      </w:r>
      <w:r w:rsidR="00E15E1F">
        <w:t xml:space="preserve">be </w:t>
      </w:r>
      <w:r w:rsidR="00670B4A" w:rsidRPr="00670B4A">
        <w:t>from the case evaluation board to the point of charge or case conclusion. The inspection team will require the assistance of a nominated SFO investigator/lawyer not attached to the case team who is available for the inspection team to consult throughout the file examination stage</w:t>
      </w:r>
      <w:r w:rsidR="00670B4A">
        <w:t>.</w:t>
      </w:r>
      <w:r w:rsidR="00C14FDA">
        <w:t xml:space="preserve"> </w:t>
      </w:r>
      <w:r w:rsidR="00DA1236">
        <w:t>In</w:t>
      </w:r>
      <w:r w:rsidR="00DA1236" w:rsidRPr="00B82644">
        <w:t>ternal</w:t>
      </w:r>
      <w:r w:rsidR="00E75FE6" w:rsidRPr="00B82644">
        <w:t xml:space="preserve"> documents required will also be identified</w:t>
      </w:r>
      <w:r w:rsidR="00B074D4" w:rsidRPr="00B82644">
        <w:t xml:space="preserve"> by the lead inspector</w:t>
      </w:r>
      <w:r w:rsidR="00D96D15" w:rsidRPr="00B82644">
        <w:t>.</w:t>
      </w:r>
      <w:r w:rsidR="00E54EA9">
        <w:t xml:space="preserve"> Any necessary training of legal inspectors in relation to the digital systems</w:t>
      </w:r>
      <w:r w:rsidR="00836F9C">
        <w:t xml:space="preserve">, </w:t>
      </w:r>
      <w:r w:rsidR="00106C6E">
        <w:lastRenderedPageBreak/>
        <w:t xml:space="preserve">casework processes and recent reviews </w:t>
      </w:r>
      <w:r w:rsidR="00E01E51">
        <w:t>will</w:t>
      </w:r>
      <w:r w:rsidR="00E54EA9">
        <w:t xml:space="preserve"> be undertaken at this stage.</w:t>
      </w:r>
      <w:r w:rsidR="001E2F88" w:rsidRPr="001E2F88">
        <w:t xml:space="preserve"> A list of interviewees will </w:t>
      </w:r>
      <w:r w:rsidR="00144CF1">
        <w:t xml:space="preserve">also </w:t>
      </w:r>
      <w:r w:rsidR="001E2F88" w:rsidRPr="001E2F88">
        <w:t>be comp</w:t>
      </w:r>
      <w:r w:rsidR="001E2F88">
        <w:t>iled</w:t>
      </w:r>
      <w:r w:rsidR="001E2F88" w:rsidRPr="001E2F88">
        <w:t xml:space="preserve"> and supplied to the SFO.</w:t>
      </w:r>
      <w:r w:rsidR="00901181">
        <w:t xml:space="preserve"> </w:t>
      </w:r>
    </w:p>
    <w:p w14:paraId="157D184A" w14:textId="77777777" w:rsidR="00D76072" w:rsidRPr="00B82644" w:rsidRDefault="00D76072" w:rsidP="00B82644">
      <w:pPr>
        <w:ind w:left="720"/>
      </w:pPr>
    </w:p>
    <w:p w14:paraId="7B19947D" w14:textId="41C6D2BA" w:rsidR="00A51525" w:rsidRPr="00B82644" w:rsidRDefault="00A51525" w:rsidP="00B82644">
      <w:r w:rsidRPr="00B82644">
        <w:rPr>
          <w:u w:val="single"/>
        </w:rPr>
        <w:t>Fieldwork</w:t>
      </w:r>
      <w:r w:rsidRPr="00B82644">
        <w:t xml:space="preserve">: </w:t>
      </w:r>
      <w:r w:rsidR="007D0BB3" w:rsidRPr="00B82644">
        <w:t>T</w:t>
      </w:r>
      <w:r w:rsidR="00B074D4" w:rsidRPr="00B82644">
        <w:t>he lead i</w:t>
      </w:r>
      <w:r w:rsidRPr="00B82644">
        <w:t xml:space="preserve">nspector supported by </w:t>
      </w:r>
      <w:r w:rsidR="005914F3" w:rsidRPr="00B82644">
        <w:t>l</w:t>
      </w:r>
      <w:r w:rsidRPr="00B82644">
        <w:t xml:space="preserve">egal </w:t>
      </w:r>
      <w:r w:rsidR="005914F3" w:rsidRPr="00B82644">
        <w:t>i</w:t>
      </w:r>
      <w:r w:rsidRPr="00B82644">
        <w:t>nspector</w:t>
      </w:r>
      <w:r w:rsidR="00B91681" w:rsidRPr="00B82644">
        <w:t xml:space="preserve">s </w:t>
      </w:r>
      <w:r w:rsidR="00E01E51">
        <w:t xml:space="preserve">and business management inspectors </w:t>
      </w:r>
      <w:r w:rsidR="00B91681" w:rsidRPr="00B82644">
        <w:t xml:space="preserve">will visit the </w:t>
      </w:r>
      <w:r w:rsidR="00CB1149" w:rsidRPr="00B82644">
        <w:t xml:space="preserve">SFO offices to </w:t>
      </w:r>
      <w:r w:rsidR="00B91681" w:rsidRPr="00B82644">
        <w:t xml:space="preserve">conduct interviews with </w:t>
      </w:r>
      <w:r w:rsidR="00CB1149" w:rsidRPr="00B82644">
        <w:t>SFO</w:t>
      </w:r>
      <w:r w:rsidR="00B91681" w:rsidRPr="00B82644">
        <w:t xml:space="preserve"> managers and staff and </w:t>
      </w:r>
      <w:r w:rsidRPr="00B82644">
        <w:t xml:space="preserve">external stakeholders. </w:t>
      </w:r>
      <w:r w:rsidR="00F76699" w:rsidRPr="00B82644">
        <w:t xml:space="preserve">It is anticipated that the fieldwork will last </w:t>
      </w:r>
      <w:r w:rsidR="00E01E51">
        <w:t>approximately</w:t>
      </w:r>
      <w:r w:rsidR="00F76699" w:rsidRPr="00B82644">
        <w:t xml:space="preserve"> </w:t>
      </w:r>
      <w:r w:rsidR="00053BB2">
        <w:t>f</w:t>
      </w:r>
      <w:r w:rsidR="00F765E1">
        <w:t>ive</w:t>
      </w:r>
      <w:r w:rsidR="00053BB2" w:rsidRPr="00B82644">
        <w:t xml:space="preserve"> </w:t>
      </w:r>
      <w:r w:rsidR="00F76699" w:rsidRPr="00B82644">
        <w:t xml:space="preserve">weeks and </w:t>
      </w:r>
      <w:r w:rsidR="00E01E51">
        <w:t xml:space="preserve">may include some degree of </w:t>
      </w:r>
      <w:r w:rsidR="00B63A06">
        <w:t xml:space="preserve">file </w:t>
      </w:r>
      <w:r w:rsidR="00104F9D">
        <w:t>examination</w:t>
      </w:r>
      <w:r w:rsidR="00B63A06">
        <w:t xml:space="preserve"> </w:t>
      </w:r>
      <w:r w:rsidR="00104F9D">
        <w:t xml:space="preserve">and </w:t>
      </w:r>
      <w:r w:rsidR="00FE1ACE">
        <w:t>direct communication with</w:t>
      </w:r>
      <w:r w:rsidR="00B63A06">
        <w:t xml:space="preserve"> case teams </w:t>
      </w:r>
      <w:r w:rsidR="000E59AB">
        <w:t xml:space="preserve">about the </w:t>
      </w:r>
      <w:r w:rsidR="00F76699" w:rsidRPr="00B82644">
        <w:t xml:space="preserve">examination of </w:t>
      </w:r>
      <w:r w:rsidR="00670B4A">
        <w:t>their case</w:t>
      </w:r>
      <w:r w:rsidR="005E3D3C">
        <w:t>.</w:t>
      </w:r>
      <w:r w:rsidR="006C2AA4">
        <w:t xml:space="preserve"> </w:t>
      </w:r>
    </w:p>
    <w:p w14:paraId="1F6275CD" w14:textId="77777777" w:rsidR="00A51525" w:rsidRPr="00B82644" w:rsidRDefault="00A51525" w:rsidP="00B82644">
      <w:pPr>
        <w:pStyle w:val="ListParagraph"/>
        <w:ind w:left="360"/>
      </w:pPr>
    </w:p>
    <w:p w14:paraId="1F4DECA7" w14:textId="77752449" w:rsidR="009F591B" w:rsidRPr="00B82644" w:rsidRDefault="00A51525" w:rsidP="00B82644">
      <w:r w:rsidRPr="00B82644">
        <w:rPr>
          <w:u w:val="single"/>
        </w:rPr>
        <w:t>Analysis</w:t>
      </w:r>
      <w:r w:rsidRPr="00B82644">
        <w:t xml:space="preserve">: Immediately following the completion of the on-site phase, members of the inspection team </w:t>
      </w:r>
      <w:r w:rsidR="00E01E51">
        <w:t xml:space="preserve">will </w:t>
      </w:r>
      <w:r w:rsidRPr="00B82644">
        <w:t xml:space="preserve">reflect on the evidence gathered on site and collate their findings against the key criteria. This period can also be used to pursue issues that have arisen during fieldwork that </w:t>
      </w:r>
      <w:r w:rsidR="00E01E51">
        <w:t>remain</w:t>
      </w:r>
      <w:r w:rsidRPr="00B82644">
        <w:t xml:space="preserve"> outstanding. </w:t>
      </w:r>
      <w:r w:rsidR="00E01E51">
        <w:t>An early emerging findings meeting will be held with the SFO to enable further evidence to be garnered.</w:t>
      </w:r>
    </w:p>
    <w:p w14:paraId="0B7C7878" w14:textId="77777777" w:rsidR="009F591B" w:rsidRPr="00B82644" w:rsidRDefault="009F591B" w:rsidP="00B82644">
      <w:pPr>
        <w:pStyle w:val="ListParagraph"/>
        <w:ind w:left="1440"/>
        <w:rPr>
          <w:u w:val="single"/>
        </w:rPr>
      </w:pPr>
    </w:p>
    <w:p w14:paraId="4126571B" w14:textId="39979B14" w:rsidR="00A51525" w:rsidRPr="00B82644" w:rsidRDefault="00A51525" w:rsidP="00B82644">
      <w:r w:rsidRPr="00B82644">
        <w:rPr>
          <w:u w:val="single"/>
        </w:rPr>
        <w:t>Report Writing</w:t>
      </w:r>
      <w:r w:rsidRPr="00B82644">
        <w:t xml:space="preserve">: The Lead Inspector will be primarily responsible for writing any report. </w:t>
      </w:r>
      <w:r w:rsidR="0008016C">
        <w:t xml:space="preserve">The </w:t>
      </w:r>
      <w:r w:rsidRPr="00B82644">
        <w:t>Quality Assurer role</w:t>
      </w:r>
      <w:r w:rsidR="00193D77">
        <w:t xml:space="preserve"> </w:t>
      </w:r>
      <w:r w:rsidR="00CC5DFD">
        <w:t xml:space="preserve">will be assumed by the </w:t>
      </w:r>
      <w:r w:rsidR="0079308C">
        <w:t xml:space="preserve">Quality Assurance Senior Inspector </w:t>
      </w:r>
      <w:r w:rsidR="00193D77">
        <w:t xml:space="preserve">or </w:t>
      </w:r>
      <w:r w:rsidR="00E02A32">
        <w:t>the Deputy Chief Inspector</w:t>
      </w:r>
      <w:r w:rsidR="00F765E1">
        <w:t xml:space="preserve">. </w:t>
      </w:r>
      <w:r w:rsidRPr="00B82644">
        <w:t xml:space="preserve"> </w:t>
      </w:r>
    </w:p>
    <w:p w14:paraId="76E87388" w14:textId="77777777" w:rsidR="007D0BB3" w:rsidRPr="00B82644" w:rsidRDefault="007D0BB3" w:rsidP="00B82644">
      <w:pPr>
        <w:rPr>
          <w:b/>
        </w:rPr>
      </w:pPr>
    </w:p>
    <w:p w14:paraId="4EA5289C" w14:textId="77777777" w:rsidR="00A51525" w:rsidRPr="00B82644" w:rsidRDefault="00A51525" w:rsidP="00B82644">
      <w:pPr>
        <w:rPr>
          <w:b/>
        </w:rPr>
      </w:pPr>
      <w:r w:rsidRPr="00B82644">
        <w:rPr>
          <w:b/>
        </w:rPr>
        <w:t>Timescales</w:t>
      </w:r>
    </w:p>
    <w:p w14:paraId="3113BA6B" w14:textId="77777777" w:rsidR="00A51525" w:rsidRPr="00B82644" w:rsidRDefault="00A51525" w:rsidP="00B82644">
      <w:pPr>
        <w:rPr>
          <w:b/>
        </w:rPr>
      </w:pPr>
    </w:p>
    <w:p w14:paraId="5CE37B3A" w14:textId="77777777" w:rsidR="00A51525" w:rsidRPr="00B82644" w:rsidRDefault="00A51525" w:rsidP="00B82644">
      <w:r w:rsidRPr="00B82644">
        <w:t>The table below sets out what are envisaged to be the broad timescales for the key stages of the inspection:</w:t>
      </w:r>
    </w:p>
    <w:p w14:paraId="1C3811A5" w14:textId="77777777" w:rsidR="00F765E1" w:rsidRDefault="00F765E1" w:rsidP="00B82644">
      <w:pPr>
        <w:rPr>
          <w:b/>
        </w:rPr>
      </w:pPr>
    </w:p>
    <w:p w14:paraId="4D4D8A42" w14:textId="77777777" w:rsidR="00A51525" w:rsidRPr="00B82644" w:rsidRDefault="00A51525" w:rsidP="00B82644"/>
    <w:tbl>
      <w:tblPr>
        <w:tblStyle w:val="TableGrid"/>
        <w:tblW w:w="0" w:type="auto"/>
        <w:tblInd w:w="108" w:type="dxa"/>
        <w:tblLook w:val="04A0" w:firstRow="1" w:lastRow="0" w:firstColumn="1" w:lastColumn="0" w:noHBand="0" w:noVBand="1"/>
      </w:tblPr>
      <w:tblGrid>
        <w:gridCol w:w="2552"/>
        <w:gridCol w:w="1134"/>
        <w:gridCol w:w="1984"/>
      </w:tblGrid>
      <w:tr w:rsidR="00A51525" w:rsidRPr="00B82644" w14:paraId="2CF0AEA6" w14:textId="77777777" w:rsidTr="0008016C">
        <w:tc>
          <w:tcPr>
            <w:tcW w:w="2552" w:type="dxa"/>
          </w:tcPr>
          <w:p w14:paraId="32BDF4CC" w14:textId="77777777" w:rsidR="00A51525" w:rsidRPr="00B82644" w:rsidRDefault="00A51525" w:rsidP="00B82644">
            <w:pPr>
              <w:rPr>
                <w:b/>
              </w:rPr>
            </w:pPr>
            <w:r w:rsidRPr="00B82644">
              <w:rPr>
                <w:b/>
              </w:rPr>
              <w:t>Activity</w:t>
            </w:r>
          </w:p>
        </w:tc>
        <w:tc>
          <w:tcPr>
            <w:tcW w:w="1134" w:type="dxa"/>
          </w:tcPr>
          <w:p w14:paraId="3C650263" w14:textId="77777777" w:rsidR="00A51525" w:rsidRPr="00B82644" w:rsidRDefault="00A51525" w:rsidP="00B82644">
            <w:pPr>
              <w:rPr>
                <w:b/>
              </w:rPr>
            </w:pPr>
            <w:r w:rsidRPr="00B82644">
              <w:rPr>
                <w:b/>
              </w:rPr>
              <w:t>Start Date</w:t>
            </w:r>
          </w:p>
        </w:tc>
        <w:tc>
          <w:tcPr>
            <w:tcW w:w="1984" w:type="dxa"/>
          </w:tcPr>
          <w:p w14:paraId="0A19665C" w14:textId="77777777" w:rsidR="00A51525" w:rsidRPr="00B82644" w:rsidRDefault="00A51525" w:rsidP="00B82644">
            <w:pPr>
              <w:rPr>
                <w:b/>
              </w:rPr>
            </w:pPr>
            <w:r w:rsidRPr="00B82644">
              <w:rPr>
                <w:b/>
              </w:rPr>
              <w:t xml:space="preserve">Length of Time </w:t>
            </w:r>
          </w:p>
          <w:p w14:paraId="0B789B76" w14:textId="77777777" w:rsidR="00A51525" w:rsidRPr="00B82644" w:rsidRDefault="00A51525" w:rsidP="00B82644">
            <w:pPr>
              <w:rPr>
                <w:b/>
              </w:rPr>
            </w:pPr>
            <w:r w:rsidRPr="00B82644">
              <w:rPr>
                <w:b/>
              </w:rPr>
              <w:t>Required</w:t>
            </w:r>
          </w:p>
        </w:tc>
      </w:tr>
      <w:tr w:rsidR="00A51525" w:rsidRPr="00B82644" w14:paraId="50913642" w14:textId="77777777" w:rsidTr="0008016C">
        <w:tc>
          <w:tcPr>
            <w:tcW w:w="2552" w:type="dxa"/>
          </w:tcPr>
          <w:p w14:paraId="2868D34C" w14:textId="77777777" w:rsidR="00A51525" w:rsidRPr="00B82644" w:rsidRDefault="00A51525" w:rsidP="00B82644">
            <w:r w:rsidRPr="00B82644">
              <w:t>Setting Up</w:t>
            </w:r>
          </w:p>
        </w:tc>
        <w:tc>
          <w:tcPr>
            <w:tcW w:w="1134" w:type="dxa"/>
          </w:tcPr>
          <w:p w14:paraId="587EDEE7" w14:textId="4C57C9C3" w:rsidR="00A51525" w:rsidRPr="00B82644" w:rsidRDefault="004813F6" w:rsidP="00B82644">
            <w:r>
              <w:t>26</w:t>
            </w:r>
            <w:r w:rsidR="00C25AE4">
              <w:t>.0</w:t>
            </w:r>
            <w:r w:rsidR="00666BE9">
              <w:t>9</w:t>
            </w:r>
            <w:r w:rsidR="00C25AE4">
              <w:t>.22</w:t>
            </w:r>
          </w:p>
        </w:tc>
        <w:tc>
          <w:tcPr>
            <w:tcW w:w="1984" w:type="dxa"/>
          </w:tcPr>
          <w:p w14:paraId="163A2B06" w14:textId="3AC8DBFF" w:rsidR="00A51525" w:rsidRPr="00B82644" w:rsidRDefault="00AA06F3" w:rsidP="00B82644">
            <w:r>
              <w:t>8</w:t>
            </w:r>
            <w:r w:rsidR="00DE5280">
              <w:t xml:space="preserve"> weeks</w:t>
            </w:r>
          </w:p>
        </w:tc>
      </w:tr>
      <w:tr w:rsidR="00A51525" w:rsidRPr="00B82644" w14:paraId="29971BEB" w14:textId="77777777" w:rsidTr="0008016C">
        <w:tc>
          <w:tcPr>
            <w:tcW w:w="2552" w:type="dxa"/>
          </w:tcPr>
          <w:p w14:paraId="6DDB5AD7" w14:textId="77777777" w:rsidR="00A51525" w:rsidRPr="00B82644" w:rsidRDefault="00947904" w:rsidP="00B82644">
            <w:r w:rsidRPr="00B82644">
              <w:t>Fieldwork</w:t>
            </w:r>
          </w:p>
        </w:tc>
        <w:tc>
          <w:tcPr>
            <w:tcW w:w="1134" w:type="dxa"/>
          </w:tcPr>
          <w:p w14:paraId="1338D448" w14:textId="1F10F575" w:rsidR="00A51525" w:rsidRPr="00B82644" w:rsidRDefault="001A725E" w:rsidP="00B82644">
            <w:r>
              <w:t>21</w:t>
            </w:r>
            <w:r w:rsidR="005116EC">
              <w:t>.1</w:t>
            </w:r>
            <w:r w:rsidR="005815B4">
              <w:t>1</w:t>
            </w:r>
            <w:r w:rsidR="005116EC">
              <w:t>.22</w:t>
            </w:r>
          </w:p>
        </w:tc>
        <w:tc>
          <w:tcPr>
            <w:tcW w:w="1984" w:type="dxa"/>
          </w:tcPr>
          <w:p w14:paraId="06349079" w14:textId="3F8642FC" w:rsidR="00A51525" w:rsidRPr="00B82644" w:rsidRDefault="00C81C5B" w:rsidP="00B82644">
            <w:r>
              <w:t>5</w:t>
            </w:r>
            <w:r w:rsidR="00F76699" w:rsidRPr="00B82644">
              <w:t xml:space="preserve"> </w:t>
            </w:r>
            <w:r w:rsidR="00A51525" w:rsidRPr="00B82644">
              <w:t>weeks</w:t>
            </w:r>
          </w:p>
        </w:tc>
      </w:tr>
      <w:tr w:rsidR="00A51525" w:rsidRPr="00B82644" w14:paraId="685EAF87" w14:textId="77777777" w:rsidTr="0008016C">
        <w:tc>
          <w:tcPr>
            <w:tcW w:w="2552" w:type="dxa"/>
          </w:tcPr>
          <w:p w14:paraId="2516D56C" w14:textId="77777777" w:rsidR="00A51525" w:rsidRPr="00B82644" w:rsidRDefault="00A51525" w:rsidP="00B82644">
            <w:r w:rsidRPr="00B82644">
              <w:t>Analysis</w:t>
            </w:r>
          </w:p>
        </w:tc>
        <w:tc>
          <w:tcPr>
            <w:tcW w:w="1134" w:type="dxa"/>
          </w:tcPr>
          <w:p w14:paraId="78065BE9" w14:textId="5C0010B5" w:rsidR="00A51525" w:rsidRPr="00B82644" w:rsidRDefault="004860A2" w:rsidP="00B82644">
            <w:r>
              <w:t>09</w:t>
            </w:r>
            <w:r w:rsidR="009E2731">
              <w:t>.</w:t>
            </w:r>
            <w:r>
              <w:t>01</w:t>
            </w:r>
            <w:r w:rsidR="009E2731">
              <w:t>.2</w:t>
            </w:r>
            <w:r w:rsidR="009C4BB9">
              <w:t>3</w:t>
            </w:r>
          </w:p>
        </w:tc>
        <w:tc>
          <w:tcPr>
            <w:tcW w:w="1984" w:type="dxa"/>
          </w:tcPr>
          <w:p w14:paraId="2700E505" w14:textId="729BDAD9" w:rsidR="00A51525" w:rsidRPr="00B82644" w:rsidRDefault="00A615FA" w:rsidP="00B82644">
            <w:r>
              <w:t>4</w:t>
            </w:r>
            <w:r w:rsidR="00A51525" w:rsidRPr="00B82644">
              <w:t xml:space="preserve"> weeks</w:t>
            </w:r>
          </w:p>
        </w:tc>
      </w:tr>
      <w:tr w:rsidR="00A51525" w:rsidRPr="00B82644" w14:paraId="02D0CE48" w14:textId="77777777" w:rsidTr="0008016C">
        <w:tc>
          <w:tcPr>
            <w:tcW w:w="2552" w:type="dxa"/>
          </w:tcPr>
          <w:p w14:paraId="1380CF86" w14:textId="77777777" w:rsidR="00A51525" w:rsidRPr="00B82644" w:rsidRDefault="00A51525" w:rsidP="00B82644">
            <w:r w:rsidRPr="00B82644">
              <w:t>Report Writing</w:t>
            </w:r>
            <w:r w:rsidR="00947904" w:rsidRPr="00B82644">
              <w:t xml:space="preserve"> and QA</w:t>
            </w:r>
          </w:p>
        </w:tc>
        <w:tc>
          <w:tcPr>
            <w:tcW w:w="1134" w:type="dxa"/>
          </w:tcPr>
          <w:p w14:paraId="4FA5F65C" w14:textId="7C44E05A" w:rsidR="00A51525" w:rsidRPr="00B82644" w:rsidRDefault="00EA3F51" w:rsidP="00B82644">
            <w:r>
              <w:t>0</w:t>
            </w:r>
            <w:r w:rsidR="00D32260">
              <w:t>6</w:t>
            </w:r>
            <w:r w:rsidR="00637D80">
              <w:t>.0</w:t>
            </w:r>
            <w:r w:rsidR="00D32260">
              <w:t>2</w:t>
            </w:r>
            <w:r w:rsidR="00637D80">
              <w:t>.23</w:t>
            </w:r>
          </w:p>
        </w:tc>
        <w:tc>
          <w:tcPr>
            <w:tcW w:w="1984" w:type="dxa"/>
          </w:tcPr>
          <w:p w14:paraId="2CE9077B" w14:textId="65E43346" w:rsidR="00A51525" w:rsidRPr="00B82644" w:rsidRDefault="00866ECD" w:rsidP="00776D56">
            <w:r>
              <w:t>5</w:t>
            </w:r>
            <w:r w:rsidR="00F76699" w:rsidRPr="00B82644">
              <w:t xml:space="preserve"> </w:t>
            </w:r>
            <w:r w:rsidR="00A51525" w:rsidRPr="00B82644">
              <w:t>weeks</w:t>
            </w:r>
          </w:p>
        </w:tc>
      </w:tr>
    </w:tbl>
    <w:p w14:paraId="1F865668" w14:textId="77777777" w:rsidR="00A51525" w:rsidRPr="00B82644" w:rsidRDefault="00A51525" w:rsidP="00B82644">
      <w:pPr>
        <w:rPr>
          <w:color w:val="1F497D"/>
        </w:rPr>
      </w:pPr>
    </w:p>
    <w:p w14:paraId="7FAD9ABD" w14:textId="77777777" w:rsidR="005914F3" w:rsidRPr="00B82644" w:rsidRDefault="005914F3" w:rsidP="00B82644">
      <w:pPr>
        <w:rPr>
          <w:b/>
        </w:rPr>
      </w:pPr>
      <w:r w:rsidRPr="00B82644">
        <w:rPr>
          <w:b/>
        </w:rPr>
        <w:t>Publication</w:t>
      </w:r>
    </w:p>
    <w:p w14:paraId="42163607" w14:textId="77777777" w:rsidR="005914F3" w:rsidRPr="00B82644" w:rsidRDefault="00A51525" w:rsidP="00B82644">
      <w:r w:rsidRPr="00B82644">
        <w:t xml:space="preserve"> </w:t>
      </w:r>
    </w:p>
    <w:p w14:paraId="69237DA3" w14:textId="720B7E4C" w:rsidR="005914F3" w:rsidRPr="00B82644" w:rsidRDefault="005914F3" w:rsidP="00B82644">
      <w:r w:rsidRPr="00B82644">
        <w:t>The report will be published</w:t>
      </w:r>
      <w:r w:rsidR="00564B33" w:rsidRPr="00B82644">
        <w:t xml:space="preserve"> in </w:t>
      </w:r>
      <w:r w:rsidR="00B656E4">
        <w:t>April 2023</w:t>
      </w:r>
      <w:r w:rsidR="00564B33" w:rsidRPr="00B82644">
        <w:t>.</w:t>
      </w:r>
    </w:p>
    <w:p w14:paraId="1197C0EA" w14:textId="77777777" w:rsidR="005914F3" w:rsidRPr="00B82644" w:rsidRDefault="005914F3" w:rsidP="00B82644">
      <w:pPr>
        <w:rPr>
          <w:b/>
        </w:rPr>
      </w:pPr>
    </w:p>
    <w:p w14:paraId="3BDA293B" w14:textId="77777777" w:rsidR="00C87C1C" w:rsidRDefault="00C87C1C" w:rsidP="00F04DB9">
      <w:pPr>
        <w:rPr>
          <w:b/>
        </w:rPr>
      </w:pPr>
    </w:p>
    <w:p w14:paraId="5835FDAF" w14:textId="77777777" w:rsidR="00C87C1C" w:rsidRDefault="00C87C1C">
      <w:pPr>
        <w:spacing w:after="200" w:line="276" w:lineRule="auto"/>
        <w:rPr>
          <w:b/>
        </w:rPr>
      </w:pPr>
      <w:r>
        <w:rPr>
          <w:b/>
        </w:rPr>
        <w:br w:type="page"/>
      </w:r>
    </w:p>
    <w:p w14:paraId="4B8045D1" w14:textId="1EA5C2FC" w:rsidR="00F04DB9" w:rsidRPr="007D0BB3" w:rsidRDefault="00F04DB9" w:rsidP="00F04DB9">
      <w:pPr>
        <w:rPr>
          <w:b/>
        </w:rPr>
      </w:pPr>
      <w:r w:rsidRPr="007D0BB3">
        <w:rPr>
          <w:b/>
        </w:rPr>
        <w:lastRenderedPageBreak/>
        <w:t>Annex A: High level questions and sub criteria</w:t>
      </w:r>
    </w:p>
    <w:p w14:paraId="1303325A" w14:textId="77777777" w:rsidR="00C26C70" w:rsidRPr="00F04DB9" w:rsidRDefault="00C26C70" w:rsidP="00C26C70">
      <w:pPr>
        <w:jc w:val="both"/>
        <w:rPr>
          <w:rFonts w:cs="Arial"/>
          <w:b/>
          <w:bCs/>
          <w:u w:val="single"/>
        </w:rPr>
      </w:pPr>
    </w:p>
    <w:p w14:paraId="4E646D6C" w14:textId="3DDD635C" w:rsidR="005D6598" w:rsidRDefault="00E01E51" w:rsidP="00615574">
      <w:pPr>
        <w:numPr>
          <w:ilvl w:val="0"/>
          <w:numId w:val="3"/>
        </w:numPr>
        <w:tabs>
          <w:tab w:val="clear" w:pos="357"/>
          <w:tab w:val="num" w:pos="-3"/>
        </w:tabs>
        <w:ind w:left="360"/>
        <w:jc w:val="both"/>
        <w:rPr>
          <w:rFonts w:cs="Arial"/>
        </w:rPr>
      </w:pPr>
      <w:r>
        <w:rPr>
          <w:rFonts w:cs="Arial"/>
        </w:rPr>
        <w:t xml:space="preserve">Have </w:t>
      </w:r>
      <w:r w:rsidR="00241FC8">
        <w:rPr>
          <w:rFonts w:cs="Arial"/>
        </w:rPr>
        <w:t xml:space="preserve">the </w:t>
      </w:r>
      <w:r w:rsidR="005D6598" w:rsidRPr="005D6598">
        <w:rPr>
          <w:rFonts w:cs="Arial"/>
        </w:rPr>
        <w:t>recommendations made by HMCPSI in the 2019 case progression inspection been implemented and resulted in improvement</w:t>
      </w:r>
      <w:r w:rsidR="00C84A40">
        <w:rPr>
          <w:rFonts w:cs="Arial"/>
        </w:rPr>
        <w:t>?</w:t>
      </w:r>
    </w:p>
    <w:p w14:paraId="1F61D2AD" w14:textId="2B90E533" w:rsidR="00615574" w:rsidRPr="00241FC8" w:rsidRDefault="00615574" w:rsidP="000E20FD">
      <w:pPr>
        <w:pStyle w:val="ListParagraph"/>
        <w:numPr>
          <w:ilvl w:val="0"/>
          <w:numId w:val="20"/>
        </w:numPr>
        <w:jc w:val="both"/>
        <w:rPr>
          <w:rFonts w:cs="Arial"/>
        </w:rPr>
      </w:pPr>
      <w:r w:rsidRPr="00241FC8">
        <w:rPr>
          <w:rFonts w:cs="Arial"/>
        </w:rPr>
        <w:t>Have the SFO developed a resourcing model that takes in</w:t>
      </w:r>
      <w:r w:rsidR="008C5217">
        <w:rPr>
          <w:rFonts w:cs="Arial"/>
        </w:rPr>
        <w:t>to</w:t>
      </w:r>
      <w:r w:rsidRPr="00241FC8">
        <w:rPr>
          <w:rFonts w:cs="Arial"/>
        </w:rPr>
        <w:t xml:space="preserve"> account staff skills and time available to progress cases effectively?</w:t>
      </w:r>
    </w:p>
    <w:p w14:paraId="31655044" w14:textId="6FC9AFEE" w:rsidR="005405DF" w:rsidRDefault="00607DC8" w:rsidP="00C55BE7">
      <w:pPr>
        <w:numPr>
          <w:ilvl w:val="0"/>
          <w:numId w:val="18"/>
        </w:numPr>
        <w:jc w:val="both"/>
        <w:rPr>
          <w:rFonts w:cs="Arial"/>
        </w:rPr>
      </w:pPr>
      <w:r>
        <w:rPr>
          <w:rFonts w:cs="Arial"/>
        </w:rPr>
        <w:t xml:space="preserve">Do the SFO take appropriate action if </w:t>
      </w:r>
      <w:r w:rsidR="001C0353">
        <w:rPr>
          <w:rFonts w:cs="Arial"/>
        </w:rPr>
        <w:t>it becomes apparent that cases are not be</w:t>
      </w:r>
      <w:r w:rsidR="00C55BE7">
        <w:rPr>
          <w:rFonts w:cs="Arial"/>
        </w:rPr>
        <w:t>ing</w:t>
      </w:r>
      <w:r w:rsidR="001C0353">
        <w:rPr>
          <w:rFonts w:cs="Arial"/>
        </w:rPr>
        <w:t xml:space="preserve"> progressed </w:t>
      </w:r>
      <w:r w:rsidR="00C55BE7">
        <w:rPr>
          <w:rFonts w:cs="Arial"/>
        </w:rPr>
        <w:t>adequately</w:t>
      </w:r>
      <w:r w:rsidR="001C0353">
        <w:rPr>
          <w:rFonts w:cs="Arial"/>
        </w:rPr>
        <w:t>?</w:t>
      </w:r>
    </w:p>
    <w:p w14:paraId="276F2337" w14:textId="1E81E65A" w:rsidR="008B0CA9" w:rsidRDefault="00C41985" w:rsidP="00C55BE7">
      <w:pPr>
        <w:numPr>
          <w:ilvl w:val="0"/>
          <w:numId w:val="18"/>
        </w:numPr>
        <w:jc w:val="both"/>
        <w:rPr>
          <w:rFonts w:cs="Arial"/>
        </w:rPr>
      </w:pPr>
      <w:r>
        <w:rPr>
          <w:rFonts w:cs="Arial"/>
        </w:rPr>
        <w:t>Is</w:t>
      </w:r>
      <w:r w:rsidR="008B0CA9">
        <w:rPr>
          <w:rFonts w:cs="Arial"/>
        </w:rPr>
        <w:t xml:space="preserve"> review of resourcing completed in a holistic manner </w:t>
      </w:r>
      <w:r>
        <w:rPr>
          <w:rFonts w:cs="Arial"/>
        </w:rPr>
        <w:t xml:space="preserve">considering the needs of case teams </w:t>
      </w:r>
      <w:r w:rsidR="00201378">
        <w:rPr>
          <w:rFonts w:cs="Arial"/>
        </w:rPr>
        <w:t xml:space="preserve">within and </w:t>
      </w:r>
      <w:r>
        <w:rPr>
          <w:rFonts w:cs="Arial"/>
        </w:rPr>
        <w:t>across the divisions</w:t>
      </w:r>
      <w:r w:rsidR="008E706D">
        <w:rPr>
          <w:rFonts w:cs="Arial"/>
        </w:rPr>
        <w:t>?</w:t>
      </w:r>
      <w:r w:rsidR="0026041B">
        <w:rPr>
          <w:rFonts w:cs="Arial"/>
        </w:rPr>
        <w:t xml:space="preserve"> </w:t>
      </w:r>
    </w:p>
    <w:p w14:paraId="749962E6" w14:textId="4E794D83" w:rsidR="0026041B" w:rsidRDefault="00EA2256" w:rsidP="00C55BE7">
      <w:pPr>
        <w:numPr>
          <w:ilvl w:val="0"/>
          <w:numId w:val="18"/>
        </w:numPr>
        <w:jc w:val="both"/>
        <w:rPr>
          <w:rFonts w:cs="Arial"/>
        </w:rPr>
      </w:pPr>
      <w:r>
        <w:rPr>
          <w:rFonts w:cs="Arial"/>
        </w:rPr>
        <w:t xml:space="preserve">Is there </w:t>
      </w:r>
      <w:r w:rsidR="006202A7">
        <w:rPr>
          <w:rFonts w:cs="Arial"/>
        </w:rPr>
        <w:t>effective guidance for case controller</w:t>
      </w:r>
      <w:r w:rsidR="008C5217">
        <w:rPr>
          <w:rFonts w:cs="Arial"/>
        </w:rPr>
        <w:t>s</w:t>
      </w:r>
      <w:r w:rsidR="006202A7">
        <w:rPr>
          <w:rFonts w:cs="Arial"/>
        </w:rPr>
        <w:t xml:space="preserve"> on deployment of Counsel </w:t>
      </w:r>
      <w:r w:rsidR="00324010">
        <w:rPr>
          <w:rFonts w:cs="Arial"/>
        </w:rPr>
        <w:t>and mechanisms to monitor performance and evaluate value for money</w:t>
      </w:r>
      <w:r w:rsidR="008E706D">
        <w:rPr>
          <w:rFonts w:cs="Arial"/>
        </w:rPr>
        <w:t>?</w:t>
      </w:r>
      <w:r w:rsidR="00324010">
        <w:rPr>
          <w:rFonts w:cs="Arial"/>
        </w:rPr>
        <w:t xml:space="preserve"> </w:t>
      </w:r>
    </w:p>
    <w:p w14:paraId="7802D97A" w14:textId="10D39D59" w:rsidR="00324010" w:rsidRDefault="00C903CF" w:rsidP="00C55BE7">
      <w:pPr>
        <w:numPr>
          <w:ilvl w:val="0"/>
          <w:numId w:val="18"/>
        </w:numPr>
        <w:jc w:val="both"/>
        <w:rPr>
          <w:rFonts w:cs="Arial"/>
        </w:rPr>
      </w:pPr>
      <w:r>
        <w:rPr>
          <w:rFonts w:cs="Arial"/>
        </w:rPr>
        <w:t xml:space="preserve">Is there a collaborative working </w:t>
      </w:r>
      <w:r w:rsidR="000636CB">
        <w:rPr>
          <w:rFonts w:cs="Arial"/>
        </w:rPr>
        <w:t>relationship</w:t>
      </w:r>
      <w:r>
        <w:rPr>
          <w:rFonts w:cs="Arial"/>
        </w:rPr>
        <w:t xml:space="preserve"> between the </w:t>
      </w:r>
      <w:r w:rsidR="00031A57">
        <w:rPr>
          <w:rFonts w:cs="Arial"/>
        </w:rPr>
        <w:t xml:space="preserve">digital forensic unit and case teams to ensure </w:t>
      </w:r>
      <w:r w:rsidR="000636CB">
        <w:rPr>
          <w:rFonts w:cs="Arial"/>
        </w:rPr>
        <w:t>effective</w:t>
      </w:r>
      <w:r w:rsidR="00031A57">
        <w:rPr>
          <w:rFonts w:cs="Arial"/>
        </w:rPr>
        <w:t xml:space="preserve"> case progression?</w:t>
      </w:r>
    </w:p>
    <w:p w14:paraId="41411693" w14:textId="5081BD10" w:rsidR="00031A57" w:rsidRDefault="0019129D" w:rsidP="00C55BE7">
      <w:pPr>
        <w:numPr>
          <w:ilvl w:val="0"/>
          <w:numId w:val="18"/>
        </w:numPr>
        <w:jc w:val="both"/>
        <w:rPr>
          <w:rFonts w:cs="Arial"/>
        </w:rPr>
      </w:pPr>
      <w:r>
        <w:rPr>
          <w:rFonts w:cs="Arial"/>
        </w:rPr>
        <w:t xml:space="preserve">Are Head of Divisions setting </w:t>
      </w:r>
      <w:r w:rsidR="00A103A9">
        <w:rPr>
          <w:rFonts w:cs="Arial"/>
        </w:rPr>
        <w:t xml:space="preserve">and monitoring appropriate milestones and ensuring there is full compliance with the </w:t>
      </w:r>
      <w:r w:rsidR="00C811AD">
        <w:rPr>
          <w:rFonts w:cs="Arial"/>
        </w:rPr>
        <w:t xml:space="preserve">operational </w:t>
      </w:r>
      <w:r w:rsidR="00A103A9">
        <w:rPr>
          <w:rFonts w:cs="Arial"/>
        </w:rPr>
        <w:t>handbook?</w:t>
      </w:r>
    </w:p>
    <w:p w14:paraId="4A0801B7" w14:textId="5AF3E12B" w:rsidR="00C55BE7" w:rsidRDefault="00C55BE7" w:rsidP="000E20FD">
      <w:pPr>
        <w:ind w:left="720"/>
        <w:jc w:val="both"/>
        <w:rPr>
          <w:rFonts w:cs="Arial"/>
        </w:rPr>
      </w:pPr>
    </w:p>
    <w:p w14:paraId="7CAF6ED9" w14:textId="33100359" w:rsidR="00C26C70" w:rsidRPr="00F04DB9" w:rsidRDefault="0056766D" w:rsidP="008C5AFB">
      <w:pPr>
        <w:numPr>
          <w:ilvl w:val="0"/>
          <w:numId w:val="3"/>
        </w:numPr>
        <w:tabs>
          <w:tab w:val="clear" w:pos="357"/>
          <w:tab w:val="num" w:pos="-3"/>
        </w:tabs>
        <w:ind w:left="360"/>
        <w:jc w:val="both"/>
        <w:rPr>
          <w:rFonts w:cs="Arial"/>
        </w:rPr>
      </w:pPr>
      <w:r>
        <w:rPr>
          <w:rFonts w:cs="Arial"/>
        </w:rPr>
        <w:t>Ha</w:t>
      </w:r>
      <w:r w:rsidR="00E01E51">
        <w:rPr>
          <w:rFonts w:cs="Arial"/>
        </w:rPr>
        <w:t>s</w:t>
      </w:r>
      <w:r>
        <w:rPr>
          <w:rFonts w:cs="Arial"/>
        </w:rPr>
        <w:t xml:space="preserve"> the implementation of the </w:t>
      </w:r>
      <w:r w:rsidR="00C338D0" w:rsidRPr="00C338D0">
        <w:rPr>
          <w:rFonts w:cs="Arial"/>
        </w:rPr>
        <w:t>2019 recommendations</w:t>
      </w:r>
      <w:r w:rsidR="00F77D9C">
        <w:rPr>
          <w:rFonts w:cs="Arial"/>
        </w:rPr>
        <w:t xml:space="preserve"> </w:t>
      </w:r>
      <w:r w:rsidR="00DB148F">
        <w:rPr>
          <w:rFonts w:cs="Arial"/>
        </w:rPr>
        <w:t>resulted in improvements in case progression</w:t>
      </w:r>
      <w:r w:rsidR="00E21D66">
        <w:rPr>
          <w:rFonts w:cs="Arial"/>
        </w:rPr>
        <w:t xml:space="preserve"> at an operational level</w:t>
      </w:r>
      <w:r w:rsidR="00C94B17">
        <w:rPr>
          <w:rFonts w:cs="Arial"/>
        </w:rPr>
        <w:t xml:space="preserve"> and have </w:t>
      </w:r>
      <w:r w:rsidR="001F07DE">
        <w:rPr>
          <w:rFonts w:cs="Arial"/>
        </w:rPr>
        <w:t>there been enhancement in quality assurance of casework</w:t>
      </w:r>
      <w:r w:rsidR="0091245D">
        <w:rPr>
          <w:rFonts w:cs="Arial"/>
        </w:rPr>
        <w:t xml:space="preserve"> processes</w:t>
      </w:r>
      <w:r w:rsidR="001F07DE">
        <w:rPr>
          <w:rFonts w:cs="Arial"/>
        </w:rPr>
        <w:t>?</w:t>
      </w:r>
    </w:p>
    <w:p w14:paraId="713C77F6" w14:textId="677651C2" w:rsidR="000D04DB" w:rsidRDefault="00755188" w:rsidP="008C5AFB">
      <w:pPr>
        <w:numPr>
          <w:ilvl w:val="0"/>
          <w:numId w:val="5"/>
        </w:numPr>
        <w:jc w:val="both"/>
        <w:rPr>
          <w:rFonts w:cs="Arial"/>
        </w:rPr>
      </w:pPr>
      <w:r>
        <w:rPr>
          <w:rFonts w:cs="Arial"/>
        </w:rPr>
        <w:t xml:space="preserve">Are </w:t>
      </w:r>
      <w:r w:rsidR="000D04DB">
        <w:rPr>
          <w:rFonts w:cs="Arial"/>
        </w:rPr>
        <w:t>case acceptance process</w:t>
      </w:r>
      <w:r>
        <w:rPr>
          <w:rFonts w:cs="Arial"/>
        </w:rPr>
        <w:t>es</w:t>
      </w:r>
      <w:r w:rsidR="000D04DB">
        <w:rPr>
          <w:rFonts w:cs="Arial"/>
        </w:rPr>
        <w:t xml:space="preserve"> effective and timely</w:t>
      </w:r>
      <w:r w:rsidR="00116310">
        <w:rPr>
          <w:rFonts w:cs="Arial"/>
        </w:rPr>
        <w:t>?</w:t>
      </w:r>
    </w:p>
    <w:p w14:paraId="37D2FF65" w14:textId="3D9BAC5A" w:rsidR="00C26C70" w:rsidRPr="000D04DB" w:rsidRDefault="00755188" w:rsidP="008C5AFB">
      <w:pPr>
        <w:numPr>
          <w:ilvl w:val="0"/>
          <w:numId w:val="5"/>
        </w:numPr>
        <w:jc w:val="both"/>
        <w:rPr>
          <w:rFonts w:cs="Arial"/>
        </w:rPr>
      </w:pPr>
      <w:r>
        <w:rPr>
          <w:rFonts w:cs="Arial"/>
        </w:rPr>
        <w:t>Is case allocation timely and contribute</w:t>
      </w:r>
      <w:r w:rsidR="00650CDD">
        <w:rPr>
          <w:rFonts w:cs="Arial"/>
        </w:rPr>
        <w:t>s</w:t>
      </w:r>
      <w:r>
        <w:rPr>
          <w:rFonts w:cs="Arial"/>
        </w:rPr>
        <w:t xml:space="preserve"> to the effective progression of cases</w:t>
      </w:r>
      <w:r w:rsidR="00116310">
        <w:rPr>
          <w:rFonts w:cs="Arial"/>
        </w:rPr>
        <w:t>?</w:t>
      </w:r>
    </w:p>
    <w:p w14:paraId="349C963E" w14:textId="76E6AFF2" w:rsidR="00C26C70" w:rsidRPr="00F04DB9" w:rsidRDefault="00755188" w:rsidP="008C5AFB">
      <w:pPr>
        <w:numPr>
          <w:ilvl w:val="0"/>
          <w:numId w:val="5"/>
        </w:numPr>
        <w:jc w:val="both"/>
        <w:rPr>
          <w:rFonts w:cs="Arial"/>
        </w:rPr>
      </w:pPr>
      <w:r>
        <w:rPr>
          <w:rFonts w:cs="Arial"/>
        </w:rPr>
        <w:t>Does the Roskill model approach and t</w:t>
      </w:r>
      <w:r w:rsidR="000D04DB">
        <w:rPr>
          <w:rFonts w:cs="Arial"/>
        </w:rPr>
        <w:t>he m</w:t>
      </w:r>
      <w:r w:rsidR="00C26C70" w:rsidRPr="00F04DB9">
        <w:rPr>
          <w:rFonts w:cs="Arial"/>
        </w:rPr>
        <w:t xml:space="preserve">ulti-disciplinary </w:t>
      </w:r>
      <w:r w:rsidR="005B11F2">
        <w:rPr>
          <w:rFonts w:cs="Arial"/>
        </w:rPr>
        <w:t xml:space="preserve">design </w:t>
      </w:r>
      <w:r>
        <w:rPr>
          <w:rFonts w:cs="Arial"/>
        </w:rPr>
        <w:t xml:space="preserve">of the </w:t>
      </w:r>
      <w:r w:rsidR="00116310">
        <w:rPr>
          <w:rFonts w:cs="Arial"/>
        </w:rPr>
        <w:t xml:space="preserve">investigation </w:t>
      </w:r>
      <w:r>
        <w:rPr>
          <w:rFonts w:cs="Arial"/>
        </w:rPr>
        <w:t>team enhance the progression of cases</w:t>
      </w:r>
      <w:r w:rsidR="00116310">
        <w:rPr>
          <w:rFonts w:cs="Arial"/>
        </w:rPr>
        <w:t>?</w:t>
      </w:r>
    </w:p>
    <w:p w14:paraId="763C861D" w14:textId="087DFB39" w:rsidR="00C26C70" w:rsidRPr="00F04DB9" w:rsidRDefault="00755188" w:rsidP="008C5AFB">
      <w:pPr>
        <w:numPr>
          <w:ilvl w:val="0"/>
          <w:numId w:val="5"/>
        </w:numPr>
        <w:jc w:val="both"/>
        <w:rPr>
          <w:rFonts w:cs="Arial"/>
        </w:rPr>
      </w:pPr>
      <w:r>
        <w:rPr>
          <w:rFonts w:cs="Arial"/>
        </w:rPr>
        <w:t>Is the selection of Counsel and other experts robust and timely to ensure effective progression of cases</w:t>
      </w:r>
      <w:r w:rsidR="00116310">
        <w:rPr>
          <w:rFonts w:cs="Arial"/>
        </w:rPr>
        <w:t>?</w:t>
      </w:r>
    </w:p>
    <w:p w14:paraId="7DFFC02F" w14:textId="002C92A6" w:rsidR="00C26C70" w:rsidRPr="00F04DB9" w:rsidRDefault="004B3F87" w:rsidP="008C5AFB">
      <w:pPr>
        <w:numPr>
          <w:ilvl w:val="0"/>
          <w:numId w:val="5"/>
        </w:numPr>
        <w:jc w:val="both"/>
        <w:rPr>
          <w:rFonts w:cs="Arial"/>
        </w:rPr>
      </w:pPr>
      <w:r>
        <w:rPr>
          <w:rFonts w:cs="Arial"/>
        </w:rPr>
        <w:t xml:space="preserve">Are </w:t>
      </w:r>
      <w:r w:rsidR="008C5AFB">
        <w:rPr>
          <w:rFonts w:cs="Arial"/>
        </w:rPr>
        <w:t>s</w:t>
      </w:r>
      <w:r w:rsidR="00C26C70" w:rsidRPr="00F04DB9">
        <w:rPr>
          <w:rFonts w:cs="Arial"/>
        </w:rPr>
        <w:t>ystems for file organisation, file endorsement, and data storage</w:t>
      </w:r>
      <w:r>
        <w:rPr>
          <w:rFonts w:cs="Arial"/>
        </w:rPr>
        <w:t xml:space="preserve"> effective to enable the </w:t>
      </w:r>
      <w:r w:rsidR="00116310">
        <w:rPr>
          <w:rFonts w:cs="Arial"/>
        </w:rPr>
        <w:t xml:space="preserve">timely progression </w:t>
      </w:r>
      <w:r>
        <w:rPr>
          <w:rFonts w:cs="Arial"/>
        </w:rPr>
        <w:t xml:space="preserve">of </w:t>
      </w:r>
      <w:r w:rsidR="00116310">
        <w:rPr>
          <w:rFonts w:cs="Arial"/>
        </w:rPr>
        <w:t>cases?</w:t>
      </w:r>
    </w:p>
    <w:p w14:paraId="37A45994" w14:textId="048A1598" w:rsidR="008C5AFB" w:rsidRPr="00F04DB9" w:rsidRDefault="004B3F87" w:rsidP="008C5AFB">
      <w:pPr>
        <w:pStyle w:val="ListParagraph"/>
        <w:numPr>
          <w:ilvl w:val="0"/>
          <w:numId w:val="5"/>
        </w:numPr>
        <w:jc w:val="both"/>
        <w:rPr>
          <w:rFonts w:cs="Arial"/>
        </w:rPr>
      </w:pPr>
      <w:r>
        <w:rPr>
          <w:rFonts w:cs="Arial"/>
        </w:rPr>
        <w:t>A</w:t>
      </w:r>
      <w:r w:rsidR="008C5AFB">
        <w:rPr>
          <w:rFonts w:cs="Arial"/>
        </w:rPr>
        <w:t xml:space="preserve">re </w:t>
      </w:r>
      <w:r>
        <w:rPr>
          <w:rFonts w:cs="Arial"/>
        </w:rPr>
        <w:t xml:space="preserve">there </w:t>
      </w:r>
      <w:r w:rsidR="008C5AFB">
        <w:rPr>
          <w:rFonts w:cs="Arial"/>
        </w:rPr>
        <w:t>a</w:t>
      </w:r>
      <w:r w:rsidR="008C5AFB" w:rsidRPr="00F04DB9">
        <w:rPr>
          <w:rFonts w:cs="Arial"/>
        </w:rPr>
        <w:t>dequate systems for dealing with correspondence</w:t>
      </w:r>
      <w:r w:rsidR="00116310">
        <w:rPr>
          <w:rFonts w:cs="Arial"/>
        </w:rPr>
        <w:t>?</w:t>
      </w:r>
    </w:p>
    <w:p w14:paraId="5051B738" w14:textId="4A3160FC" w:rsidR="005837E6" w:rsidRPr="00F04DB9" w:rsidRDefault="004B3F87" w:rsidP="008C5AFB">
      <w:pPr>
        <w:numPr>
          <w:ilvl w:val="0"/>
          <w:numId w:val="5"/>
        </w:numPr>
        <w:jc w:val="both"/>
        <w:rPr>
          <w:rFonts w:cs="Arial"/>
        </w:rPr>
      </w:pPr>
      <w:r>
        <w:rPr>
          <w:rFonts w:cs="Arial"/>
        </w:rPr>
        <w:t xml:space="preserve">Are </w:t>
      </w:r>
      <w:r w:rsidR="00116310">
        <w:rPr>
          <w:rFonts w:cs="Arial"/>
        </w:rPr>
        <w:t xml:space="preserve">available </w:t>
      </w:r>
      <w:r w:rsidR="008C5AFB">
        <w:rPr>
          <w:rFonts w:cs="Arial"/>
        </w:rPr>
        <w:t>digital system</w:t>
      </w:r>
      <w:r w:rsidR="0047111F">
        <w:rPr>
          <w:rFonts w:cs="Arial"/>
        </w:rPr>
        <w:t xml:space="preserve">s </w:t>
      </w:r>
      <w:r w:rsidR="00C26C70" w:rsidRPr="00F04DB9">
        <w:rPr>
          <w:rFonts w:cs="Arial"/>
        </w:rPr>
        <w:t>used effectively</w:t>
      </w:r>
      <w:r>
        <w:rPr>
          <w:rFonts w:cs="Arial"/>
        </w:rPr>
        <w:t xml:space="preserve"> to aid case progression</w:t>
      </w:r>
      <w:r w:rsidR="00116310">
        <w:rPr>
          <w:rFonts w:cs="Arial"/>
        </w:rPr>
        <w:t>?</w:t>
      </w:r>
      <w:r>
        <w:rPr>
          <w:rFonts w:cs="Arial"/>
        </w:rPr>
        <w:t xml:space="preserve"> </w:t>
      </w:r>
    </w:p>
    <w:p w14:paraId="5FB429E9" w14:textId="47990FD5" w:rsidR="005837E6" w:rsidRDefault="000F3BF8" w:rsidP="004E7FFD">
      <w:pPr>
        <w:numPr>
          <w:ilvl w:val="0"/>
          <w:numId w:val="5"/>
        </w:numPr>
        <w:jc w:val="both"/>
      </w:pPr>
      <w:r w:rsidRPr="00BE433B">
        <w:t xml:space="preserve">Are reviews of cases timely and proactive to enable early case strategy to provide focus for the investigation and prosecution of a case including the </w:t>
      </w:r>
      <w:r w:rsidRPr="00C66F78">
        <w:t xml:space="preserve">identification of ancillary </w:t>
      </w:r>
      <w:r w:rsidR="00116310" w:rsidRPr="00C66F78">
        <w:t>applications?</w:t>
      </w:r>
    </w:p>
    <w:p w14:paraId="6FFCE2F2" w14:textId="160AF89C" w:rsidR="005837E6" w:rsidRDefault="005837E6" w:rsidP="004E7FFD">
      <w:pPr>
        <w:numPr>
          <w:ilvl w:val="0"/>
          <w:numId w:val="5"/>
        </w:numPr>
        <w:jc w:val="both"/>
      </w:pPr>
      <w:r w:rsidRPr="005837E6">
        <w:t xml:space="preserve">Is unused material dealt with properly in line with the law and SFO guidance to ensure timely and </w:t>
      </w:r>
      <w:r>
        <w:t>effective progression of cases?</w:t>
      </w:r>
    </w:p>
    <w:p w14:paraId="4694E533" w14:textId="36EE4E7A" w:rsidR="006C4D2C" w:rsidRDefault="005837E6" w:rsidP="004E7FFD">
      <w:pPr>
        <w:numPr>
          <w:ilvl w:val="0"/>
          <w:numId w:val="5"/>
        </w:numPr>
        <w:jc w:val="both"/>
      </w:pPr>
      <w:r>
        <w:t>Are cases properly identified and flagged to ensure systems and processes are followed</w:t>
      </w:r>
      <w:r w:rsidR="007700CB">
        <w:t xml:space="preserve"> in accordance with the SFO handbook and are </w:t>
      </w:r>
      <w:r w:rsidR="009F24E8">
        <w:t xml:space="preserve">local </w:t>
      </w:r>
      <w:r w:rsidR="008C4E20">
        <w:t>measures in</w:t>
      </w:r>
      <w:r w:rsidR="007700CB">
        <w:t xml:space="preserve"> place for compliance?</w:t>
      </w:r>
    </w:p>
    <w:p w14:paraId="2AB46D03" w14:textId="1BE2C2A9" w:rsidR="00F04566" w:rsidRPr="00E01E51" w:rsidRDefault="006C4D2C" w:rsidP="005343CC">
      <w:pPr>
        <w:numPr>
          <w:ilvl w:val="0"/>
          <w:numId w:val="5"/>
        </w:numPr>
        <w:jc w:val="both"/>
        <w:rPr>
          <w:rFonts w:cs="Arial"/>
        </w:rPr>
      </w:pPr>
      <w:r w:rsidRPr="00E01E51">
        <w:rPr>
          <w:rFonts w:cs="Arial"/>
        </w:rPr>
        <w:t xml:space="preserve">Is there appropriate day to day supervision and line management of </w:t>
      </w:r>
      <w:r w:rsidR="006263CD" w:rsidRPr="00E01E51">
        <w:rPr>
          <w:rFonts w:cs="Arial"/>
        </w:rPr>
        <w:t>staff</w:t>
      </w:r>
      <w:r w:rsidRPr="00E01E51">
        <w:rPr>
          <w:rFonts w:cs="Arial"/>
        </w:rPr>
        <w:t xml:space="preserve"> to monitor the progression of cases? </w:t>
      </w:r>
    </w:p>
    <w:p w14:paraId="27A403F6" w14:textId="77777777" w:rsidR="00761F4B" w:rsidRPr="00761F4B" w:rsidRDefault="00761F4B" w:rsidP="00761F4B">
      <w:pPr>
        <w:numPr>
          <w:ilvl w:val="0"/>
          <w:numId w:val="11"/>
        </w:numPr>
        <w:contextualSpacing/>
        <w:jc w:val="both"/>
        <w:rPr>
          <w:rFonts w:cs="Arial"/>
        </w:rPr>
      </w:pPr>
      <w:r w:rsidRPr="00761F4B">
        <w:rPr>
          <w:rFonts w:cs="Arial"/>
        </w:rPr>
        <w:t>Is the internal leadership structure and case progression governance system effective?</w:t>
      </w:r>
    </w:p>
    <w:p w14:paraId="5A38BAA6" w14:textId="77777777" w:rsidR="00761F4B" w:rsidRPr="00761F4B" w:rsidRDefault="00761F4B" w:rsidP="00761F4B">
      <w:pPr>
        <w:numPr>
          <w:ilvl w:val="0"/>
          <w:numId w:val="11"/>
        </w:numPr>
        <w:tabs>
          <w:tab w:val="num" w:pos="1080"/>
        </w:tabs>
        <w:contextualSpacing/>
        <w:jc w:val="both"/>
        <w:rPr>
          <w:rFonts w:cs="Arial"/>
        </w:rPr>
      </w:pPr>
      <w:r w:rsidRPr="00761F4B">
        <w:rPr>
          <w:rFonts w:cs="Arial"/>
        </w:rPr>
        <w:t xml:space="preserve">Do leaders of the organisation have sufficient influence over stakeholders to aid effective case progression? </w:t>
      </w:r>
    </w:p>
    <w:p w14:paraId="4D5D5AAE" w14:textId="655290E7" w:rsidR="00761F4B" w:rsidRPr="00761F4B" w:rsidRDefault="00761F4B" w:rsidP="00761F4B">
      <w:pPr>
        <w:numPr>
          <w:ilvl w:val="0"/>
          <w:numId w:val="11"/>
        </w:numPr>
        <w:jc w:val="both"/>
        <w:rPr>
          <w:rFonts w:cs="Arial"/>
        </w:rPr>
      </w:pPr>
      <w:r w:rsidRPr="00761F4B">
        <w:rPr>
          <w:rFonts w:cs="Arial"/>
        </w:rPr>
        <w:t xml:space="preserve">Are Case Review </w:t>
      </w:r>
      <w:r w:rsidR="005D7D5F">
        <w:rPr>
          <w:rFonts w:cs="Arial"/>
        </w:rPr>
        <w:t xml:space="preserve">Meetings </w:t>
      </w:r>
      <w:r w:rsidRPr="00761F4B">
        <w:rPr>
          <w:rFonts w:cs="Arial"/>
        </w:rPr>
        <w:t>and other mechanisms effective in providing oversight of case progression and alive to risks to effective case progression?</w:t>
      </w:r>
    </w:p>
    <w:p w14:paraId="116CA007" w14:textId="77777777" w:rsidR="00761F4B" w:rsidRPr="00761F4B" w:rsidRDefault="00761F4B" w:rsidP="00761F4B">
      <w:pPr>
        <w:numPr>
          <w:ilvl w:val="0"/>
          <w:numId w:val="11"/>
        </w:numPr>
        <w:jc w:val="both"/>
        <w:rPr>
          <w:rFonts w:cs="Arial"/>
        </w:rPr>
      </w:pPr>
      <w:r w:rsidRPr="00761F4B">
        <w:rPr>
          <w:rFonts w:cs="Arial"/>
        </w:rPr>
        <w:t>Are there effective systems to ensure the identification, organisation and dissemination of learning points with respect to case progression?</w:t>
      </w:r>
    </w:p>
    <w:p w14:paraId="0F43E5B7" w14:textId="77777777" w:rsidR="00761F4B" w:rsidRPr="00761F4B" w:rsidRDefault="00761F4B" w:rsidP="00761F4B">
      <w:pPr>
        <w:numPr>
          <w:ilvl w:val="0"/>
          <w:numId w:val="11"/>
        </w:numPr>
        <w:jc w:val="both"/>
        <w:rPr>
          <w:rFonts w:cs="Arial"/>
        </w:rPr>
      </w:pPr>
      <w:r w:rsidRPr="00761F4B">
        <w:rPr>
          <w:rFonts w:cs="Arial"/>
        </w:rPr>
        <w:t>Is performance data used to monitor the effectiveness of case progression?</w:t>
      </w:r>
    </w:p>
    <w:p w14:paraId="3AD067A9" w14:textId="77777777" w:rsidR="00761F4B" w:rsidRPr="00761F4B" w:rsidRDefault="00761F4B" w:rsidP="00761F4B">
      <w:pPr>
        <w:numPr>
          <w:ilvl w:val="0"/>
          <w:numId w:val="11"/>
        </w:numPr>
        <w:rPr>
          <w:rFonts w:eastAsia="Times New Roman" w:cs="Arial"/>
          <w:noProof/>
        </w:rPr>
      </w:pPr>
      <w:r w:rsidRPr="00761F4B">
        <w:rPr>
          <w:rFonts w:eastAsia="Times New Roman" w:cs="Arial"/>
          <w:noProof/>
        </w:rPr>
        <w:t>Is there continuity of case ownership throughout the life of a case and mecahanisms in place to minimise disruption when this is not possible?</w:t>
      </w:r>
    </w:p>
    <w:p w14:paraId="6825917D" w14:textId="77777777" w:rsidR="00761F4B" w:rsidRPr="00761F4B" w:rsidRDefault="00761F4B" w:rsidP="00761F4B">
      <w:pPr>
        <w:numPr>
          <w:ilvl w:val="0"/>
          <w:numId w:val="11"/>
        </w:numPr>
        <w:jc w:val="both"/>
        <w:rPr>
          <w:rFonts w:cs="Arial"/>
        </w:rPr>
      </w:pPr>
      <w:r w:rsidRPr="00761F4B">
        <w:rPr>
          <w:rFonts w:cs="Arial"/>
        </w:rPr>
        <w:lastRenderedPageBreak/>
        <w:t xml:space="preserve">Do quality assurance processes provide senior managers with adequate assurance of the status of case progression within SFO? </w:t>
      </w:r>
    </w:p>
    <w:p w14:paraId="63893FD5" w14:textId="77777777" w:rsidR="00761F4B" w:rsidRDefault="00761F4B" w:rsidP="00F04566">
      <w:pPr>
        <w:jc w:val="both"/>
        <w:rPr>
          <w:rFonts w:cs="Arial"/>
        </w:rPr>
      </w:pPr>
    </w:p>
    <w:p w14:paraId="4A84AAEA" w14:textId="633F9326" w:rsidR="002241A4" w:rsidRDefault="00E01E51" w:rsidP="00761F4B">
      <w:pPr>
        <w:numPr>
          <w:ilvl w:val="0"/>
          <w:numId w:val="3"/>
        </w:numPr>
        <w:tabs>
          <w:tab w:val="num" w:pos="-3"/>
        </w:tabs>
        <w:ind w:left="360"/>
        <w:jc w:val="both"/>
        <w:rPr>
          <w:rFonts w:cs="Arial"/>
        </w:rPr>
      </w:pPr>
      <w:r>
        <w:rPr>
          <w:rFonts w:cs="Arial"/>
        </w:rPr>
        <w:t>Do</w:t>
      </w:r>
      <w:r w:rsidR="002241A4" w:rsidRPr="002241A4">
        <w:rPr>
          <w:rFonts w:cs="Arial"/>
        </w:rPr>
        <w:t xml:space="preserve"> the </w:t>
      </w:r>
      <w:r w:rsidR="0080212B">
        <w:rPr>
          <w:rFonts w:cs="Arial"/>
        </w:rPr>
        <w:t>cas</w:t>
      </w:r>
      <w:r w:rsidR="00FB7CF8">
        <w:rPr>
          <w:rFonts w:cs="Arial"/>
        </w:rPr>
        <w:t xml:space="preserve">e progression </w:t>
      </w:r>
      <w:r w:rsidR="002241A4" w:rsidRPr="002241A4">
        <w:rPr>
          <w:rFonts w:cs="Arial"/>
        </w:rPr>
        <w:t>issues identified in the Calvert-Smith and Altman reviews</w:t>
      </w:r>
      <w:r w:rsidR="002A1D78">
        <w:rPr>
          <w:rFonts w:cs="Arial"/>
        </w:rPr>
        <w:t xml:space="preserve"> </w:t>
      </w:r>
      <w:r w:rsidR="00FB7CF8">
        <w:rPr>
          <w:rFonts w:cs="Arial"/>
        </w:rPr>
        <w:t>continue to</w:t>
      </w:r>
      <w:r w:rsidR="002241A4" w:rsidRPr="002241A4">
        <w:rPr>
          <w:rFonts w:cs="Arial"/>
        </w:rPr>
        <w:t xml:space="preserve"> present risks to </w:t>
      </w:r>
      <w:r w:rsidR="00C93DE8">
        <w:rPr>
          <w:rFonts w:cs="Arial"/>
        </w:rPr>
        <w:t>the SFO.</w:t>
      </w:r>
    </w:p>
    <w:p w14:paraId="507608A2" w14:textId="54231007" w:rsidR="00E65EEE" w:rsidRDefault="00A139A2" w:rsidP="00E65EEE">
      <w:pPr>
        <w:pStyle w:val="ListParagraph"/>
        <w:numPr>
          <w:ilvl w:val="0"/>
          <w:numId w:val="21"/>
        </w:numPr>
        <w:jc w:val="both"/>
        <w:rPr>
          <w:rFonts w:cs="Arial"/>
        </w:rPr>
      </w:pPr>
      <w:r>
        <w:rPr>
          <w:rFonts w:cs="Arial"/>
        </w:rPr>
        <w:t>Is</w:t>
      </w:r>
      <w:r w:rsidR="00F0373B">
        <w:rPr>
          <w:rFonts w:cs="Arial"/>
        </w:rPr>
        <w:t xml:space="preserve"> </w:t>
      </w:r>
      <w:r w:rsidR="00AB2DC3">
        <w:rPr>
          <w:rFonts w:cs="Arial"/>
        </w:rPr>
        <w:t xml:space="preserve">guidance and </w:t>
      </w:r>
      <w:r w:rsidR="00F0373B">
        <w:rPr>
          <w:rFonts w:cs="Arial"/>
        </w:rPr>
        <w:t xml:space="preserve">the standard of instructions to team members who deal with disclosure adequate to ensure that the SFO can </w:t>
      </w:r>
      <w:r w:rsidR="00120035">
        <w:rPr>
          <w:rFonts w:cs="Arial"/>
        </w:rPr>
        <w:t>discharge</w:t>
      </w:r>
      <w:r w:rsidR="00F0373B">
        <w:rPr>
          <w:rFonts w:cs="Arial"/>
        </w:rPr>
        <w:t xml:space="preserve"> its disclosure </w:t>
      </w:r>
      <w:r w:rsidR="00120035">
        <w:rPr>
          <w:rFonts w:cs="Arial"/>
        </w:rPr>
        <w:t>obligations</w:t>
      </w:r>
      <w:r w:rsidR="00CF0BA2">
        <w:rPr>
          <w:rFonts w:cs="Arial"/>
        </w:rPr>
        <w:t xml:space="preserve"> in a timely fashion</w:t>
      </w:r>
      <w:r w:rsidR="00120035">
        <w:rPr>
          <w:rFonts w:cs="Arial"/>
        </w:rPr>
        <w:t>?</w:t>
      </w:r>
      <w:r w:rsidR="00802D14">
        <w:rPr>
          <w:rFonts w:cs="Arial"/>
        </w:rPr>
        <w:t xml:space="preserve"> </w:t>
      </w:r>
    </w:p>
    <w:p w14:paraId="754FD5FD" w14:textId="722ABF94" w:rsidR="004A5770" w:rsidRDefault="00AC0F2A" w:rsidP="00E65EEE">
      <w:pPr>
        <w:pStyle w:val="ListParagraph"/>
        <w:numPr>
          <w:ilvl w:val="0"/>
          <w:numId w:val="21"/>
        </w:numPr>
        <w:jc w:val="both"/>
        <w:rPr>
          <w:rFonts w:cs="Arial"/>
        </w:rPr>
      </w:pPr>
      <w:r>
        <w:rPr>
          <w:rFonts w:cs="Arial"/>
        </w:rPr>
        <w:t xml:space="preserve">Do </w:t>
      </w:r>
      <w:r w:rsidR="00DF6E32">
        <w:rPr>
          <w:rFonts w:cs="Arial"/>
        </w:rPr>
        <w:t xml:space="preserve">team members have the right level of experience </w:t>
      </w:r>
      <w:r w:rsidR="000705C2">
        <w:rPr>
          <w:rFonts w:cs="Arial"/>
        </w:rPr>
        <w:t xml:space="preserve">for </w:t>
      </w:r>
      <w:r w:rsidR="00DF6E32">
        <w:rPr>
          <w:rFonts w:cs="Arial"/>
        </w:rPr>
        <w:t xml:space="preserve">their </w:t>
      </w:r>
      <w:r w:rsidR="00B0095E">
        <w:rPr>
          <w:rFonts w:cs="Arial"/>
        </w:rPr>
        <w:t>roles and responsibilities</w:t>
      </w:r>
      <w:r w:rsidR="00CF0BA2">
        <w:rPr>
          <w:rFonts w:cs="Arial"/>
        </w:rPr>
        <w:t xml:space="preserve"> to ensure case</w:t>
      </w:r>
      <w:r w:rsidR="0007763E">
        <w:rPr>
          <w:rFonts w:cs="Arial"/>
        </w:rPr>
        <w:t>s</w:t>
      </w:r>
      <w:r w:rsidR="00CF0BA2">
        <w:rPr>
          <w:rFonts w:cs="Arial"/>
        </w:rPr>
        <w:t xml:space="preserve"> progress expeditiously</w:t>
      </w:r>
      <w:r w:rsidR="00B0095E">
        <w:rPr>
          <w:rFonts w:cs="Arial"/>
        </w:rPr>
        <w:t xml:space="preserve">? </w:t>
      </w:r>
    </w:p>
    <w:p w14:paraId="3E2DA0C8" w14:textId="77777777" w:rsidR="00F16CC8" w:rsidRDefault="00A36B0E">
      <w:pPr>
        <w:pStyle w:val="ListParagraph"/>
        <w:numPr>
          <w:ilvl w:val="0"/>
          <w:numId w:val="21"/>
        </w:numPr>
        <w:jc w:val="both"/>
        <w:rPr>
          <w:rFonts w:cs="Arial"/>
        </w:rPr>
      </w:pPr>
      <w:r>
        <w:rPr>
          <w:rFonts w:cs="Arial"/>
        </w:rPr>
        <w:t xml:space="preserve">Is there </w:t>
      </w:r>
      <w:r w:rsidR="00C61FF5">
        <w:rPr>
          <w:rFonts w:cs="Arial"/>
        </w:rPr>
        <w:t xml:space="preserve">a good relationship between the </w:t>
      </w:r>
      <w:r w:rsidR="001A0591">
        <w:rPr>
          <w:rFonts w:cs="Arial"/>
        </w:rPr>
        <w:t>investigative</w:t>
      </w:r>
      <w:r w:rsidR="00C61FF5">
        <w:rPr>
          <w:rFonts w:cs="Arial"/>
        </w:rPr>
        <w:t xml:space="preserve"> </w:t>
      </w:r>
      <w:r w:rsidR="0007763E">
        <w:rPr>
          <w:rFonts w:cs="Arial"/>
        </w:rPr>
        <w:t xml:space="preserve">and </w:t>
      </w:r>
      <w:r w:rsidR="001A0591">
        <w:rPr>
          <w:rFonts w:cs="Arial"/>
        </w:rPr>
        <w:t xml:space="preserve">prosecution </w:t>
      </w:r>
      <w:r w:rsidR="0007763E">
        <w:rPr>
          <w:rFonts w:cs="Arial"/>
        </w:rPr>
        <w:t>arms of the team</w:t>
      </w:r>
      <w:r w:rsidR="00F16CC8">
        <w:rPr>
          <w:rFonts w:cs="Arial"/>
        </w:rPr>
        <w:t xml:space="preserve"> to aid case progression?</w:t>
      </w:r>
    </w:p>
    <w:p w14:paraId="77CC200D" w14:textId="58B461F9" w:rsidR="00494A44" w:rsidRDefault="00B20106" w:rsidP="00494A44">
      <w:pPr>
        <w:pStyle w:val="ListParagraph"/>
        <w:numPr>
          <w:ilvl w:val="0"/>
          <w:numId w:val="21"/>
        </w:numPr>
        <w:jc w:val="both"/>
        <w:rPr>
          <w:rFonts w:cs="Arial"/>
        </w:rPr>
      </w:pPr>
      <w:r w:rsidRPr="00494A44">
        <w:rPr>
          <w:rFonts w:cs="Arial"/>
        </w:rPr>
        <w:t xml:space="preserve">Is there transparency of all </w:t>
      </w:r>
      <w:r w:rsidR="008042C0" w:rsidRPr="00494A44">
        <w:rPr>
          <w:rFonts w:cs="Arial"/>
        </w:rPr>
        <w:t xml:space="preserve">interviews </w:t>
      </w:r>
      <w:r w:rsidRPr="00494A44">
        <w:rPr>
          <w:rFonts w:cs="Arial"/>
        </w:rPr>
        <w:t xml:space="preserve">and meetings </w:t>
      </w:r>
      <w:r w:rsidR="00494A44" w:rsidRPr="00494A44">
        <w:rPr>
          <w:rFonts w:cs="Arial"/>
        </w:rPr>
        <w:t>re</w:t>
      </w:r>
      <w:r w:rsidR="00494A44">
        <w:rPr>
          <w:rFonts w:cs="Arial"/>
        </w:rPr>
        <w:t>l</w:t>
      </w:r>
      <w:r w:rsidR="00494A44" w:rsidRPr="00494A44">
        <w:rPr>
          <w:rFonts w:cs="Arial"/>
        </w:rPr>
        <w:t>evant</w:t>
      </w:r>
      <w:r w:rsidRPr="00494A44">
        <w:rPr>
          <w:rFonts w:cs="Arial"/>
        </w:rPr>
        <w:t xml:space="preserve"> to the cases a</w:t>
      </w:r>
      <w:r w:rsidR="00494A44" w:rsidRPr="00494A44">
        <w:rPr>
          <w:rFonts w:cs="Arial"/>
        </w:rPr>
        <w:t xml:space="preserve">nd are these adequately recorded to ensure that cases do not stall? </w:t>
      </w:r>
    </w:p>
    <w:p w14:paraId="20769824" w14:textId="5EF520B5" w:rsidR="00C66D7A" w:rsidRPr="00494A44" w:rsidRDefault="00C005C8" w:rsidP="00494A44">
      <w:pPr>
        <w:pStyle w:val="ListParagraph"/>
        <w:numPr>
          <w:ilvl w:val="0"/>
          <w:numId w:val="21"/>
        </w:numPr>
        <w:jc w:val="both"/>
        <w:rPr>
          <w:rFonts w:cs="Arial"/>
        </w:rPr>
      </w:pPr>
      <w:r w:rsidRPr="00494A44">
        <w:rPr>
          <w:rFonts w:cs="Arial"/>
        </w:rPr>
        <w:t xml:space="preserve">Is there sufficient quality assurance </w:t>
      </w:r>
      <w:r w:rsidR="008D4704" w:rsidRPr="00494A44">
        <w:rPr>
          <w:rFonts w:cs="Arial"/>
        </w:rPr>
        <w:t xml:space="preserve">and oversight </w:t>
      </w:r>
      <w:r w:rsidRPr="00494A44">
        <w:rPr>
          <w:rFonts w:cs="Arial"/>
        </w:rPr>
        <w:t xml:space="preserve">to </w:t>
      </w:r>
      <w:r w:rsidR="00BC6F85" w:rsidRPr="00494A44">
        <w:rPr>
          <w:rFonts w:cs="Arial"/>
        </w:rPr>
        <w:t>en</w:t>
      </w:r>
      <w:r w:rsidR="00E17747" w:rsidRPr="00494A44">
        <w:rPr>
          <w:rFonts w:cs="Arial"/>
        </w:rPr>
        <w:t xml:space="preserve">sure </w:t>
      </w:r>
      <w:r w:rsidR="003B1630" w:rsidRPr="00494A44">
        <w:rPr>
          <w:rFonts w:cs="Arial"/>
        </w:rPr>
        <w:t>confidence in case</w:t>
      </w:r>
      <w:r w:rsidR="00AB5226" w:rsidRPr="00494A44">
        <w:rPr>
          <w:rFonts w:cs="Arial"/>
        </w:rPr>
        <w:t xml:space="preserve">s progressing at </w:t>
      </w:r>
      <w:r w:rsidR="00D9577E" w:rsidRPr="00494A44">
        <w:rPr>
          <w:rFonts w:cs="Arial"/>
        </w:rPr>
        <w:t>speed?</w:t>
      </w:r>
    </w:p>
    <w:p w14:paraId="76E79EC9" w14:textId="6349778F" w:rsidR="000F243D" w:rsidRPr="00E65EEE" w:rsidRDefault="00E41EF4" w:rsidP="000E20FD">
      <w:pPr>
        <w:pStyle w:val="ListParagraph"/>
        <w:numPr>
          <w:ilvl w:val="0"/>
          <w:numId w:val="21"/>
        </w:numPr>
        <w:jc w:val="both"/>
        <w:rPr>
          <w:rFonts w:cs="Arial"/>
        </w:rPr>
      </w:pPr>
      <w:r>
        <w:rPr>
          <w:rFonts w:cs="Arial"/>
        </w:rPr>
        <w:t xml:space="preserve">Are case teams adequately resourced to enable </w:t>
      </w:r>
      <w:r w:rsidR="00A139A2">
        <w:rPr>
          <w:rFonts w:cs="Arial"/>
        </w:rPr>
        <w:t xml:space="preserve">cases to progress expeditiously? </w:t>
      </w:r>
    </w:p>
    <w:p w14:paraId="26EE7193" w14:textId="4D4A4752" w:rsidR="00E65EEE" w:rsidRDefault="00E65EEE" w:rsidP="00E65EEE">
      <w:pPr>
        <w:jc w:val="both"/>
        <w:rPr>
          <w:rFonts w:cs="Arial"/>
        </w:rPr>
      </w:pPr>
    </w:p>
    <w:p w14:paraId="0945EC41" w14:textId="5245D4F6" w:rsidR="00AA49A3" w:rsidRDefault="00E01E51" w:rsidP="00761F4B">
      <w:pPr>
        <w:numPr>
          <w:ilvl w:val="0"/>
          <w:numId w:val="3"/>
        </w:numPr>
        <w:tabs>
          <w:tab w:val="num" w:pos="-3"/>
        </w:tabs>
        <w:ind w:left="360"/>
        <w:jc w:val="both"/>
        <w:rPr>
          <w:rFonts w:cs="Arial"/>
        </w:rPr>
      </w:pPr>
      <w:r>
        <w:rPr>
          <w:rFonts w:cs="Arial"/>
        </w:rPr>
        <w:t xml:space="preserve">Are the SFO plans to address </w:t>
      </w:r>
      <w:r w:rsidR="00F2138A" w:rsidRPr="00F2138A">
        <w:rPr>
          <w:rFonts w:cs="Arial"/>
        </w:rPr>
        <w:t>the case progression issues raised in the Calvert-Smith and Altman reviews</w:t>
      </w:r>
      <w:r w:rsidR="00324DCE">
        <w:rPr>
          <w:rFonts w:cs="Arial"/>
        </w:rPr>
        <w:t xml:space="preserve"> and address the recommendations in the 2019 report</w:t>
      </w:r>
      <w:r w:rsidRPr="00E01E51">
        <w:rPr>
          <w:rFonts w:cs="Arial"/>
        </w:rPr>
        <w:t xml:space="preserve"> </w:t>
      </w:r>
      <w:r w:rsidRPr="00F2138A">
        <w:rPr>
          <w:rFonts w:cs="Arial"/>
        </w:rPr>
        <w:t>viabl</w:t>
      </w:r>
      <w:r>
        <w:rPr>
          <w:rFonts w:cs="Arial"/>
        </w:rPr>
        <w:t>e and sustainable?</w:t>
      </w:r>
    </w:p>
    <w:p w14:paraId="298C5008" w14:textId="69478B0B" w:rsidR="00E9255E" w:rsidRDefault="002F647C" w:rsidP="00F2138A">
      <w:pPr>
        <w:pStyle w:val="ListParagraph"/>
        <w:numPr>
          <w:ilvl w:val="0"/>
          <w:numId w:val="22"/>
        </w:numPr>
        <w:jc w:val="both"/>
        <w:rPr>
          <w:rFonts w:cs="Arial"/>
        </w:rPr>
      </w:pPr>
      <w:r>
        <w:rPr>
          <w:rFonts w:cs="Arial"/>
        </w:rPr>
        <w:t xml:space="preserve">Are changes </w:t>
      </w:r>
      <w:r w:rsidR="00E01E51">
        <w:rPr>
          <w:rFonts w:cs="Arial"/>
        </w:rPr>
        <w:t xml:space="preserve">required for the management and appropriate dealing with </w:t>
      </w:r>
      <w:r w:rsidR="00DB5C52" w:rsidRPr="00DB5C52">
        <w:rPr>
          <w:rFonts w:cs="Arial"/>
        </w:rPr>
        <w:t xml:space="preserve">disclosure </w:t>
      </w:r>
      <w:r>
        <w:rPr>
          <w:rFonts w:cs="Arial"/>
        </w:rPr>
        <w:t xml:space="preserve">taking place and are the changes </w:t>
      </w:r>
      <w:r w:rsidR="00E9255E">
        <w:rPr>
          <w:rFonts w:cs="Arial"/>
        </w:rPr>
        <w:t xml:space="preserve">likely to result in improvements in </w:t>
      </w:r>
      <w:r w:rsidR="00A35B51">
        <w:rPr>
          <w:rFonts w:cs="Arial"/>
        </w:rPr>
        <w:t xml:space="preserve">the </w:t>
      </w:r>
      <w:r w:rsidR="00E9255E">
        <w:rPr>
          <w:rFonts w:cs="Arial"/>
        </w:rPr>
        <w:t xml:space="preserve">disclosure </w:t>
      </w:r>
      <w:r w:rsidR="00345301">
        <w:rPr>
          <w:rFonts w:cs="Arial"/>
        </w:rPr>
        <w:t>process</w:t>
      </w:r>
      <w:r w:rsidR="00E9255E">
        <w:rPr>
          <w:rFonts w:cs="Arial"/>
        </w:rPr>
        <w:t>?</w:t>
      </w:r>
    </w:p>
    <w:p w14:paraId="5DA7A2F1" w14:textId="779C18B8" w:rsidR="004003FE" w:rsidRDefault="00E9255E" w:rsidP="00F2138A">
      <w:pPr>
        <w:pStyle w:val="ListParagraph"/>
        <w:numPr>
          <w:ilvl w:val="0"/>
          <w:numId w:val="22"/>
        </w:numPr>
        <w:jc w:val="both"/>
        <w:rPr>
          <w:rFonts w:cs="Arial"/>
        </w:rPr>
      </w:pPr>
      <w:r>
        <w:rPr>
          <w:rFonts w:cs="Arial"/>
        </w:rPr>
        <w:t xml:space="preserve">Are proposed changes in </w:t>
      </w:r>
      <w:r w:rsidR="00DB5C52" w:rsidRPr="00DB5C52">
        <w:rPr>
          <w:rFonts w:cs="Arial"/>
        </w:rPr>
        <w:t>record keeping and case assurance</w:t>
      </w:r>
      <w:r w:rsidR="00990C56">
        <w:rPr>
          <w:rFonts w:cs="Arial"/>
        </w:rPr>
        <w:t xml:space="preserve"> </w:t>
      </w:r>
      <w:r w:rsidR="00E01E51">
        <w:rPr>
          <w:rFonts w:cs="Arial"/>
        </w:rPr>
        <w:t>producing</w:t>
      </w:r>
      <w:r w:rsidR="004003FE">
        <w:rPr>
          <w:rFonts w:cs="Arial"/>
        </w:rPr>
        <w:t xml:space="preserve"> improved disclosure handling?</w:t>
      </w:r>
    </w:p>
    <w:p w14:paraId="151FD07D" w14:textId="772F73F9" w:rsidR="00324390" w:rsidRDefault="00E01E51" w:rsidP="00F2138A">
      <w:pPr>
        <w:pStyle w:val="ListParagraph"/>
        <w:numPr>
          <w:ilvl w:val="0"/>
          <w:numId w:val="22"/>
        </w:numPr>
        <w:jc w:val="both"/>
        <w:rPr>
          <w:rFonts w:cs="Arial"/>
        </w:rPr>
      </w:pPr>
      <w:r>
        <w:rPr>
          <w:rFonts w:cs="Arial"/>
        </w:rPr>
        <w:t>Have the</w:t>
      </w:r>
      <w:r w:rsidR="00D207EF">
        <w:rPr>
          <w:rFonts w:cs="Arial"/>
        </w:rPr>
        <w:t xml:space="preserve"> planned improvement</w:t>
      </w:r>
      <w:r>
        <w:rPr>
          <w:rFonts w:cs="Arial"/>
        </w:rPr>
        <w:t>s</w:t>
      </w:r>
      <w:r w:rsidR="00D207EF">
        <w:rPr>
          <w:rFonts w:cs="Arial"/>
        </w:rPr>
        <w:t xml:space="preserve"> of </w:t>
      </w:r>
      <w:r w:rsidR="00DB5C52" w:rsidRPr="00DB5C52">
        <w:rPr>
          <w:rFonts w:cs="Arial"/>
        </w:rPr>
        <w:t>guidance</w:t>
      </w:r>
      <w:r w:rsidR="00942304">
        <w:rPr>
          <w:rFonts w:cs="Arial"/>
        </w:rPr>
        <w:t xml:space="preserve"> and </w:t>
      </w:r>
      <w:r w:rsidR="00DB5C52" w:rsidRPr="00DB5C52">
        <w:rPr>
          <w:rFonts w:cs="Arial"/>
        </w:rPr>
        <w:t>policies</w:t>
      </w:r>
      <w:r w:rsidR="00324390">
        <w:rPr>
          <w:rFonts w:cs="Arial"/>
        </w:rPr>
        <w:t xml:space="preserve"> a</w:t>
      </w:r>
      <w:r>
        <w:rPr>
          <w:rFonts w:cs="Arial"/>
        </w:rPr>
        <w:t>nd</w:t>
      </w:r>
      <w:r w:rsidR="00324390">
        <w:rPr>
          <w:rFonts w:cs="Arial"/>
        </w:rPr>
        <w:t xml:space="preserve"> system</w:t>
      </w:r>
      <w:r>
        <w:rPr>
          <w:rFonts w:cs="Arial"/>
        </w:rPr>
        <w:t xml:space="preserve"> resulted in better </w:t>
      </w:r>
      <w:r w:rsidR="00324390">
        <w:rPr>
          <w:rFonts w:cs="Arial"/>
        </w:rPr>
        <w:t>compliance?</w:t>
      </w:r>
    </w:p>
    <w:p w14:paraId="4B274911" w14:textId="1A3739DC" w:rsidR="00294017" w:rsidRPr="00294017" w:rsidRDefault="00CE2925" w:rsidP="000E20FD">
      <w:pPr>
        <w:pStyle w:val="ListParagraph"/>
        <w:numPr>
          <w:ilvl w:val="0"/>
          <w:numId w:val="22"/>
        </w:numPr>
        <w:rPr>
          <w:rFonts w:cs="Arial"/>
        </w:rPr>
      </w:pPr>
      <w:r>
        <w:rPr>
          <w:rFonts w:cs="Arial"/>
        </w:rPr>
        <w:t xml:space="preserve">Will </w:t>
      </w:r>
      <w:r w:rsidR="00C90E8B">
        <w:rPr>
          <w:rFonts w:cs="Arial"/>
        </w:rPr>
        <w:t>improved</w:t>
      </w:r>
      <w:r w:rsidR="00294017" w:rsidRPr="00294017">
        <w:rPr>
          <w:rFonts w:cs="Arial"/>
        </w:rPr>
        <w:t xml:space="preserve"> guidance documentation available to staff aid a consistent and effective approach to case progression?</w:t>
      </w:r>
    </w:p>
    <w:p w14:paraId="6A29D276" w14:textId="42F7557C" w:rsidR="00386EDA" w:rsidRDefault="003915C7" w:rsidP="00F2138A">
      <w:pPr>
        <w:pStyle w:val="ListParagraph"/>
        <w:numPr>
          <w:ilvl w:val="0"/>
          <w:numId w:val="22"/>
        </w:numPr>
        <w:jc w:val="both"/>
        <w:rPr>
          <w:rFonts w:cs="Arial"/>
        </w:rPr>
      </w:pPr>
      <w:r>
        <w:rPr>
          <w:rFonts w:cs="Arial"/>
        </w:rPr>
        <w:t xml:space="preserve">Will changes ensure </w:t>
      </w:r>
      <w:r w:rsidR="00DB5C52" w:rsidRPr="00DB5C52">
        <w:rPr>
          <w:rFonts w:cs="Arial"/>
        </w:rPr>
        <w:t>roles</w:t>
      </w:r>
      <w:r w:rsidR="001B025F">
        <w:rPr>
          <w:rFonts w:cs="Arial"/>
        </w:rPr>
        <w:t xml:space="preserve"> and</w:t>
      </w:r>
      <w:r w:rsidR="00DB5C52" w:rsidRPr="00DB5C52">
        <w:rPr>
          <w:rFonts w:cs="Arial"/>
        </w:rPr>
        <w:t xml:space="preserve"> responsibilities</w:t>
      </w:r>
      <w:r w:rsidR="00324390">
        <w:rPr>
          <w:rFonts w:cs="Arial"/>
        </w:rPr>
        <w:t xml:space="preserve"> of staff </w:t>
      </w:r>
      <w:r w:rsidR="001B025F">
        <w:rPr>
          <w:rFonts w:cs="Arial"/>
        </w:rPr>
        <w:t xml:space="preserve">are </w:t>
      </w:r>
      <w:r w:rsidR="00324390">
        <w:rPr>
          <w:rFonts w:cs="Arial"/>
        </w:rPr>
        <w:t xml:space="preserve">clearly defined and </w:t>
      </w:r>
      <w:r w:rsidR="004A370F">
        <w:rPr>
          <w:rFonts w:cs="Arial"/>
        </w:rPr>
        <w:t xml:space="preserve">checks in place to ensure </w:t>
      </w:r>
      <w:r w:rsidR="00386EDA">
        <w:rPr>
          <w:rFonts w:cs="Arial"/>
        </w:rPr>
        <w:t>consistency?</w:t>
      </w:r>
    </w:p>
    <w:p w14:paraId="055D3816" w14:textId="1AD51A5C" w:rsidR="00F02E13" w:rsidRPr="00F02E13" w:rsidRDefault="001B025F" w:rsidP="000E20FD">
      <w:pPr>
        <w:pStyle w:val="ListParagraph"/>
        <w:numPr>
          <w:ilvl w:val="0"/>
          <w:numId w:val="22"/>
        </w:numPr>
        <w:rPr>
          <w:rFonts w:cs="Arial"/>
        </w:rPr>
      </w:pPr>
      <w:r>
        <w:rPr>
          <w:rFonts w:cs="Arial"/>
        </w:rPr>
        <w:t xml:space="preserve">Has there been </w:t>
      </w:r>
      <w:r w:rsidR="00F02E13" w:rsidRPr="00F02E13">
        <w:rPr>
          <w:rFonts w:cs="Arial"/>
        </w:rPr>
        <w:t xml:space="preserve">appropriate </w:t>
      </w:r>
      <w:r w:rsidR="00C84CDA">
        <w:rPr>
          <w:rFonts w:cs="Arial"/>
        </w:rPr>
        <w:t xml:space="preserve">staff </w:t>
      </w:r>
      <w:r w:rsidR="00F02E13" w:rsidRPr="00F02E13">
        <w:rPr>
          <w:rFonts w:cs="Arial"/>
        </w:rPr>
        <w:t>training to deal with effective progression of cases</w:t>
      </w:r>
      <w:r>
        <w:rPr>
          <w:rFonts w:cs="Arial"/>
        </w:rPr>
        <w:t>, or are plans feasible</w:t>
      </w:r>
      <w:r w:rsidR="00F02E13" w:rsidRPr="00F02E13">
        <w:rPr>
          <w:rFonts w:cs="Arial"/>
        </w:rPr>
        <w:t xml:space="preserve">? </w:t>
      </w:r>
    </w:p>
    <w:p w14:paraId="59F490CE" w14:textId="7C60FD0E" w:rsidR="00F2138A" w:rsidRDefault="002F69DF" w:rsidP="00F2138A">
      <w:pPr>
        <w:pStyle w:val="ListParagraph"/>
        <w:numPr>
          <w:ilvl w:val="0"/>
          <w:numId w:val="22"/>
        </w:numPr>
        <w:jc w:val="both"/>
        <w:rPr>
          <w:rFonts w:cs="Arial"/>
        </w:rPr>
      </w:pPr>
      <w:r>
        <w:rPr>
          <w:rFonts w:cs="Arial"/>
        </w:rPr>
        <w:t xml:space="preserve">Is </w:t>
      </w:r>
      <w:r w:rsidR="006C5EA4">
        <w:rPr>
          <w:rFonts w:cs="Arial"/>
        </w:rPr>
        <w:t>there a</w:t>
      </w:r>
      <w:r w:rsidR="001B025F">
        <w:rPr>
          <w:rFonts w:cs="Arial"/>
        </w:rPr>
        <w:t>n</w:t>
      </w:r>
      <w:r w:rsidR="006C5EA4">
        <w:rPr>
          <w:rFonts w:cs="Arial"/>
        </w:rPr>
        <w:t xml:space="preserve"> </w:t>
      </w:r>
      <w:r w:rsidR="00CC22D4">
        <w:rPr>
          <w:rFonts w:cs="Arial"/>
        </w:rPr>
        <w:t xml:space="preserve">effective </w:t>
      </w:r>
      <w:r w:rsidR="006C5EA4">
        <w:rPr>
          <w:rFonts w:cs="Arial"/>
        </w:rPr>
        <w:t xml:space="preserve">plan to ensure </w:t>
      </w:r>
      <w:r w:rsidR="00386EDA">
        <w:rPr>
          <w:rFonts w:cs="Arial"/>
        </w:rPr>
        <w:t xml:space="preserve">staff </w:t>
      </w:r>
      <w:r w:rsidR="00DB5C52" w:rsidRPr="00DB5C52">
        <w:rPr>
          <w:rFonts w:cs="Arial"/>
        </w:rPr>
        <w:t>resources</w:t>
      </w:r>
      <w:r w:rsidR="00386EDA">
        <w:rPr>
          <w:rFonts w:cs="Arial"/>
        </w:rPr>
        <w:t xml:space="preserve"> </w:t>
      </w:r>
      <w:r w:rsidR="006C5EA4">
        <w:rPr>
          <w:rFonts w:cs="Arial"/>
        </w:rPr>
        <w:t xml:space="preserve">are </w:t>
      </w:r>
      <w:r w:rsidR="00386EDA">
        <w:rPr>
          <w:rFonts w:cs="Arial"/>
        </w:rPr>
        <w:t>optimised</w:t>
      </w:r>
      <w:r w:rsidR="00A8684E">
        <w:rPr>
          <w:rFonts w:cs="Arial"/>
        </w:rPr>
        <w:t xml:space="preserve"> to ensure cases progress without delay?</w:t>
      </w:r>
    </w:p>
    <w:p w14:paraId="64DA8E84" w14:textId="77777777" w:rsidR="00F02E13" w:rsidRPr="00F2138A" w:rsidRDefault="00F02E13" w:rsidP="000E20FD">
      <w:pPr>
        <w:pStyle w:val="ListParagraph"/>
        <w:jc w:val="both"/>
        <w:rPr>
          <w:rFonts w:cs="Arial"/>
        </w:rPr>
      </w:pPr>
    </w:p>
    <w:p w14:paraId="171903E7" w14:textId="77777777" w:rsidR="00F04566" w:rsidRPr="00F04566" w:rsidRDefault="00F04566" w:rsidP="00F04566">
      <w:pPr>
        <w:jc w:val="both"/>
        <w:rPr>
          <w:rFonts w:cs="Arial"/>
        </w:rPr>
      </w:pPr>
    </w:p>
    <w:p w14:paraId="5BF47977" w14:textId="77777777" w:rsidR="00C26C70" w:rsidRDefault="00C26C70" w:rsidP="00C26C70">
      <w:pPr>
        <w:tabs>
          <w:tab w:val="num" w:pos="1080"/>
        </w:tabs>
        <w:ind w:left="720"/>
        <w:jc w:val="both"/>
        <w:rPr>
          <w:rFonts w:cs="Arial"/>
        </w:rPr>
      </w:pPr>
    </w:p>
    <w:p w14:paraId="027254DD" w14:textId="77777777" w:rsidR="009F24E8" w:rsidRDefault="009F24E8" w:rsidP="00C26C70">
      <w:pPr>
        <w:tabs>
          <w:tab w:val="num" w:pos="1080"/>
        </w:tabs>
        <w:ind w:left="720"/>
        <w:jc w:val="both"/>
        <w:rPr>
          <w:rFonts w:cs="Arial"/>
        </w:rPr>
      </w:pPr>
    </w:p>
    <w:p w14:paraId="280F194A" w14:textId="77777777" w:rsidR="004B3F87" w:rsidRPr="00FC1B3A" w:rsidRDefault="004B3F87" w:rsidP="004E7FFD">
      <w:pPr>
        <w:ind w:left="360"/>
        <w:jc w:val="both"/>
        <w:rPr>
          <w:rFonts w:cs="Arial"/>
        </w:rPr>
      </w:pPr>
    </w:p>
    <w:p w14:paraId="554B1A37" w14:textId="77777777" w:rsidR="00C26C70" w:rsidRPr="00F04DB9" w:rsidRDefault="00C26C70" w:rsidP="00C26C70">
      <w:pPr>
        <w:ind w:left="720"/>
        <w:jc w:val="both"/>
        <w:rPr>
          <w:rFonts w:cs="Arial"/>
        </w:rPr>
      </w:pPr>
    </w:p>
    <w:p w14:paraId="3D3992D0" w14:textId="77777777" w:rsidR="00EA4C1C" w:rsidRDefault="00EA4C1C"/>
    <w:p w14:paraId="64C1FF71" w14:textId="77777777" w:rsidR="00542963" w:rsidRDefault="00542963"/>
    <w:sectPr w:rsidR="0054296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44A7" w14:textId="77777777" w:rsidR="004E6651" w:rsidRDefault="004E6651" w:rsidP="006623C7">
      <w:r>
        <w:separator/>
      </w:r>
    </w:p>
  </w:endnote>
  <w:endnote w:type="continuationSeparator" w:id="0">
    <w:p w14:paraId="171697BD" w14:textId="77777777" w:rsidR="004E6651" w:rsidRDefault="004E6651" w:rsidP="0066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Web">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liciou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119836"/>
      <w:docPartObj>
        <w:docPartGallery w:val="Page Numbers (Bottom of Page)"/>
        <w:docPartUnique/>
      </w:docPartObj>
    </w:sdtPr>
    <w:sdtEndPr>
      <w:rPr>
        <w:noProof/>
      </w:rPr>
    </w:sdtEndPr>
    <w:sdtContent>
      <w:p w14:paraId="3E499E5D" w14:textId="466DEDE3" w:rsidR="004F771C" w:rsidRDefault="004F771C">
        <w:pPr>
          <w:pStyle w:val="Footer"/>
          <w:jc w:val="center"/>
        </w:pPr>
        <w:r>
          <w:fldChar w:fldCharType="begin"/>
        </w:r>
        <w:r>
          <w:instrText xml:space="preserve"> PAGE   \* MERGEFORMAT </w:instrText>
        </w:r>
        <w:r>
          <w:fldChar w:fldCharType="separate"/>
        </w:r>
        <w:r w:rsidR="00A41145">
          <w:rPr>
            <w:noProof/>
          </w:rPr>
          <w:t>1</w:t>
        </w:r>
        <w:r>
          <w:rPr>
            <w:noProof/>
          </w:rPr>
          <w:fldChar w:fldCharType="end"/>
        </w:r>
      </w:p>
    </w:sdtContent>
  </w:sdt>
  <w:p w14:paraId="294D3CAA" w14:textId="77777777" w:rsidR="004F771C" w:rsidRDefault="004F7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BCB6" w14:textId="77777777" w:rsidR="004E6651" w:rsidRDefault="004E6651" w:rsidP="006623C7">
      <w:r>
        <w:separator/>
      </w:r>
    </w:p>
  </w:footnote>
  <w:footnote w:type="continuationSeparator" w:id="0">
    <w:p w14:paraId="33C835CA" w14:textId="77777777" w:rsidR="004E6651" w:rsidRDefault="004E6651" w:rsidP="006623C7">
      <w:r>
        <w:continuationSeparator/>
      </w:r>
    </w:p>
  </w:footnote>
  <w:footnote w:id="1">
    <w:p w14:paraId="0A053BA1" w14:textId="77777777" w:rsidR="00314029" w:rsidRDefault="00314029" w:rsidP="00314029">
      <w:pPr>
        <w:pStyle w:val="FootnoteText"/>
      </w:pPr>
      <w:r>
        <w:rPr>
          <w:rStyle w:val="FootnoteReference"/>
        </w:rPr>
        <w:footnoteRef/>
      </w:r>
      <w:r>
        <w:t xml:space="preserve"> </w:t>
      </w:r>
      <w:r w:rsidRPr="00626616">
        <w:t xml:space="preserve">To undertake the inspection </w:t>
      </w:r>
      <w:r>
        <w:t>HMCPSI</w:t>
      </w:r>
      <w:r w:rsidRPr="00626616">
        <w:t xml:space="preserve"> examined six cases in detail, looking particularly at the stage between case acceptance and charge.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BB25" w14:textId="055FFFAD" w:rsidR="00086B3A" w:rsidRPr="00AC0F91" w:rsidRDefault="00086B3A" w:rsidP="00AC0F91">
    <w:pPr>
      <w:pStyle w:val="Header"/>
      <w:jc w:val="center"/>
      <w:rPr>
        <w:b/>
        <w:bCs/>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751"/>
    <w:multiLevelType w:val="hybridMultilevel"/>
    <w:tmpl w:val="A1AE0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61D9"/>
    <w:multiLevelType w:val="hybridMultilevel"/>
    <w:tmpl w:val="70201C8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C6E15A7"/>
    <w:multiLevelType w:val="multilevel"/>
    <w:tmpl w:val="DE4E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A68E0"/>
    <w:multiLevelType w:val="hybridMultilevel"/>
    <w:tmpl w:val="49FC9642"/>
    <w:lvl w:ilvl="0" w:tplc="08090001">
      <w:start w:val="1"/>
      <w:numFmt w:val="bullet"/>
      <w:lvlText w:val=""/>
      <w:lvlJc w:val="left"/>
      <w:pPr>
        <w:tabs>
          <w:tab w:val="num" w:pos="357"/>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3796E"/>
    <w:multiLevelType w:val="hybridMultilevel"/>
    <w:tmpl w:val="733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F6FBD"/>
    <w:multiLevelType w:val="hybridMultilevel"/>
    <w:tmpl w:val="0236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E6567"/>
    <w:multiLevelType w:val="hybridMultilevel"/>
    <w:tmpl w:val="FB9E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932B4"/>
    <w:multiLevelType w:val="hybridMultilevel"/>
    <w:tmpl w:val="AB0A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21F24"/>
    <w:multiLevelType w:val="hybridMultilevel"/>
    <w:tmpl w:val="C1823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D6202D"/>
    <w:multiLevelType w:val="hybridMultilevel"/>
    <w:tmpl w:val="18B8C5FC"/>
    <w:lvl w:ilvl="0" w:tplc="08090001">
      <w:start w:val="1"/>
      <w:numFmt w:val="bullet"/>
      <w:lvlText w:val=""/>
      <w:lvlJc w:val="left"/>
      <w:pPr>
        <w:tabs>
          <w:tab w:val="num" w:pos="357"/>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656016"/>
    <w:multiLevelType w:val="hybridMultilevel"/>
    <w:tmpl w:val="5EE4B196"/>
    <w:lvl w:ilvl="0" w:tplc="FFFFFFFF">
      <w:start w:val="1"/>
      <w:numFmt w:val="bullet"/>
      <w:pStyle w:val="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54739"/>
    <w:multiLevelType w:val="hybridMultilevel"/>
    <w:tmpl w:val="8A265C4A"/>
    <w:lvl w:ilvl="0" w:tplc="A15A7648">
      <w:start w:val="1"/>
      <w:numFmt w:val="decimal"/>
      <w:lvlText w:val="%1."/>
      <w:lvlJc w:val="left"/>
      <w:pPr>
        <w:tabs>
          <w:tab w:val="num" w:pos="357"/>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207698"/>
    <w:multiLevelType w:val="hybridMultilevel"/>
    <w:tmpl w:val="D3ACF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15358F"/>
    <w:multiLevelType w:val="hybridMultilevel"/>
    <w:tmpl w:val="E850C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D709F8"/>
    <w:multiLevelType w:val="hybridMultilevel"/>
    <w:tmpl w:val="3BB4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25419"/>
    <w:multiLevelType w:val="hybridMultilevel"/>
    <w:tmpl w:val="F8A6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81C56"/>
    <w:multiLevelType w:val="hybridMultilevel"/>
    <w:tmpl w:val="C2888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B62442"/>
    <w:multiLevelType w:val="hybridMultilevel"/>
    <w:tmpl w:val="834C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A3F0D"/>
    <w:multiLevelType w:val="multilevel"/>
    <w:tmpl w:val="1650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0A3948"/>
    <w:multiLevelType w:val="multilevel"/>
    <w:tmpl w:val="70808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2E275E"/>
    <w:multiLevelType w:val="hybridMultilevel"/>
    <w:tmpl w:val="9AD8D9BC"/>
    <w:lvl w:ilvl="0" w:tplc="08090001">
      <w:start w:val="1"/>
      <w:numFmt w:val="bullet"/>
      <w:lvlText w:val=""/>
      <w:lvlJc w:val="left"/>
      <w:pPr>
        <w:tabs>
          <w:tab w:val="num" w:pos="357"/>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C15D56"/>
    <w:multiLevelType w:val="multilevel"/>
    <w:tmpl w:val="EFBA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E3F7E"/>
    <w:multiLevelType w:val="hybridMultilevel"/>
    <w:tmpl w:val="0CF4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C44AF2"/>
    <w:multiLevelType w:val="hybridMultilevel"/>
    <w:tmpl w:val="EA7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914A98"/>
    <w:multiLevelType w:val="multilevel"/>
    <w:tmpl w:val="F468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195327">
    <w:abstractNumId w:val="1"/>
  </w:num>
  <w:num w:numId="2" w16cid:durableId="125467731">
    <w:abstractNumId w:val="10"/>
  </w:num>
  <w:num w:numId="3" w16cid:durableId="1841701446">
    <w:abstractNumId w:val="11"/>
  </w:num>
  <w:num w:numId="4" w16cid:durableId="977344567">
    <w:abstractNumId w:val="16"/>
  </w:num>
  <w:num w:numId="5" w16cid:durableId="1163087854">
    <w:abstractNumId w:val="9"/>
  </w:num>
  <w:num w:numId="6" w16cid:durableId="75975548">
    <w:abstractNumId w:val="7"/>
  </w:num>
  <w:num w:numId="7" w16cid:durableId="1285697056">
    <w:abstractNumId w:val="3"/>
  </w:num>
  <w:num w:numId="8" w16cid:durableId="350688402">
    <w:abstractNumId w:val="6"/>
  </w:num>
  <w:num w:numId="9" w16cid:durableId="1402017808">
    <w:abstractNumId w:val="15"/>
  </w:num>
  <w:num w:numId="10" w16cid:durableId="2114981678">
    <w:abstractNumId w:val="23"/>
  </w:num>
  <w:num w:numId="11" w16cid:durableId="121580733">
    <w:abstractNumId w:val="4"/>
  </w:num>
  <w:num w:numId="12" w16cid:durableId="1556698444">
    <w:abstractNumId w:val="18"/>
  </w:num>
  <w:num w:numId="13" w16cid:durableId="1962953935">
    <w:abstractNumId w:val="24"/>
  </w:num>
  <w:num w:numId="14" w16cid:durableId="220021705">
    <w:abstractNumId w:val="21"/>
  </w:num>
  <w:num w:numId="15" w16cid:durableId="567155624">
    <w:abstractNumId w:val="2"/>
  </w:num>
  <w:num w:numId="16" w16cid:durableId="518005184">
    <w:abstractNumId w:val="13"/>
  </w:num>
  <w:num w:numId="17" w16cid:durableId="1825851276">
    <w:abstractNumId w:val="12"/>
  </w:num>
  <w:num w:numId="18" w16cid:durableId="1606886747">
    <w:abstractNumId w:val="20"/>
  </w:num>
  <w:num w:numId="19" w16cid:durableId="965433954">
    <w:abstractNumId w:val="8"/>
  </w:num>
  <w:num w:numId="20" w16cid:durableId="1517771193">
    <w:abstractNumId w:val="0"/>
  </w:num>
  <w:num w:numId="21" w16cid:durableId="1457143152">
    <w:abstractNumId w:val="5"/>
  </w:num>
  <w:num w:numId="22" w16cid:durableId="1488863451">
    <w:abstractNumId w:val="22"/>
  </w:num>
  <w:num w:numId="23" w16cid:durableId="1232885561">
    <w:abstractNumId w:val="19"/>
  </w:num>
  <w:num w:numId="24" w16cid:durableId="437917929">
    <w:abstractNumId w:val="14"/>
  </w:num>
  <w:num w:numId="25" w16cid:durableId="182335200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1C"/>
    <w:rsid w:val="00007846"/>
    <w:rsid w:val="00010B2D"/>
    <w:rsid w:val="00013741"/>
    <w:rsid w:val="00014BF0"/>
    <w:rsid w:val="00022B16"/>
    <w:rsid w:val="00031A57"/>
    <w:rsid w:val="00041781"/>
    <w:rsid w:val="000424CC"/>
    <w:rsid w:val="00047681"/>
    <w:rsid w:val="00051616"/>
    <w:rsid w:val="00053833"/>
    <w:rsid w:val="00053BB2"/>
    <w:rsid w:val="00055330"/>
    <w:rsid w:val="000636CB"/>
    <w:rsid w:val="0006662A"/>
    <w:rsid w:val="00066AFD"/>
    <w:rsid w:val="000705C2"/>
    <w:rsid w:val="00071866"/>
    <w:rsid w:val="0007763E"/>
    <w:rsid w:val="0008016C"/>
    <w:rsid w:val="0008201C"/>
    <w:rsid w:val="0008374A"/>
    <w:rsid w:val="00086B3A"/>
    <w:rsid w:val="00090A50"/>
    <w:rsid w:val="00093F11"/>
    <w:rsid w:val="000B1B86"/>
    <w:rsid w:val="000B4809"/>
    <w:rsid w:val="000B4A00"/>
    <w:rsid w:val="000D04DB"/>
    <w:rsid w:val="000D348E"/>
    <w:rsid w:val="000E20FD"/>
    <w:rsid w:val="000E35CE"/>
    <w:rsid w:val="000E4BD1"/>
    <w:rsid w:val="000E59AB"/>
    <w:rsid w:val="000F14AA"/>
    <w:rsid w:val="000F243D"/>
    <w:rsid w:val="000F3BF8"/>
    <w:rsid w:val="001005B6"/>
    <w:rsid w:val="00101EE5"/>
    <w:rsid w:val="00104F9D"/>
    <w:rsid w:val="00106C6E"/>
    <w:rsid w:val="001103C7"/>
    <w:rsid w:val="00115A79"/>
    <w:rsid w:val="00116310"/>
    <w:rsid w:val="00120035"/>
    <w:rsid w:val="00120926"/>
    <w:rsid w:val="0012152C"/>
    <w:rsid w:val="00144CF1"/>
    <w:rsid w:val="00145833"/>
    <w:rsid w:val="001623E3"/>
    <w:rsid w:val="001666F7"/>
    <w:rsid w:val="00185BDC"/>
    <w:rsid w:val="00185E70"/>
    <w:rsid w:val="0019129D"/>
    <w:rsid w:val="00192A52"/>
    <w:rsid w:val="001939EB"/>
    <w:rsid w:val="00193D77"/>
    <w:rsid w:val="00196278"/>
    <w:rsid w:val="001A0591"/>
    <w:rsid w:val="001A32A4"/>
    <w:rsid w:val="001A725E"/>
    <w:rsid w:val="001B025F"/>
    <w:rsid w:val="001B5675"/>
    <w:rsid w:val="001B6143"/>
    <w:rsid w:val="001C0353"/>
    <w:rsid w:val="001C4125"/>
    <w:rsid w:val="001C6ABD"/>
    <w:rsid w:val="001C6B6D"/>
    <w:rsid w:val="001D4EE2"/>
    <w:rsid w:val="001D6305"/>
    <w:rsid w:val="001E2F88"/>
    <w:rsid w:val="001E57AC"/>
    <w:rsid w:val="001F07DE"/>
    <w:rsid w:val="00201378"/>
    <w:rsid w:val="0020196B"/>
    <w:rsid w:val="002064B0"/>
    <w:rsid w:val="002160F5"/>
    <w:rsid w:val="0021630F"/>
    <w:rsid w:val="00222AE7"/>
    <w:rsid w:val="002241A4"/>
    <w:rsid w:val="0022658B"/>
    <w:rsid w:val="00234C48"/>
    <w:rsid w:val="002362D3"/>
    <w:rsid w:val="00241FC8"/>
    <w:rsid w:val="0024575C"/>
    <w:rsid w:val="00251318"/>
    <w:rsid w:val="002550A3"/>
    <w:rsid w:val="0026041B"/>
    <w:rsid w:val="00271F5D"/>
    <w:rsid w:val="00273A61"/>
    <w:rsid w:val="00275AAE"/>
    <w:rsid w:val="002902D4"/>
    <w:rsid w:val="002922CE"/>
    <w:rsid w:val="00294017"/>
    <w:rsid w:val="002A1D78"/>
    <w:rsid w:val="002A3496"/>
    <w:rsid w:val="002B1C61"/>
    <w:rsid w:val="002B5D8D"/>
    <w:rsid w:val="002B6E7C"/>
    <w:rsid w:val="002C5608"/>
    <w:rsid w:val="002D33D5"/>
    <w:rsid w:val="002E6EF1"/>
    <w:rsid w:val="002F647C"/>
    <w:rsid w:val="002F69DF"/>
    <w:rsid w:val="002F7096"/>
    <w:rsid w:val="00314029"/>
    <w:rsid w:val="00314116"/>
    <w:rsid w:val="00316B72"/>
    <w:rsid w:val="00324010"/>
    <w:rsid w:val="00324390"/>
    <w:rsid w:val="00324DCE"/>
    <w:rsid w:val="00334E28"/>
    <w:rsid w:val="00344ABB"/>
    <w:rsid w:val="00345301"/>
    <w:rsid w:val="003673AD"/>
    <w:rsid w:val="00371104"/>
    <w:rsid w:val="0038075C"/>
    <w:rsid w:val="0038150A"/>
    <w:rsid w:val="00386EDA"/>
    <w:rsid w:val="003915C7"/>
    <w:rsid w:val="003930E1"/>
    <w:rsid w:val="003A3493"/>
    <w:rsid w:val="003B1630"/>
    <w:rsid w:val="003C5B7D"/>
    <w:rsid w:val="003D01B4"/>
    <w:rsid w:val="003D1154"/>
    <w:rsid w:val="003F5551"/>
    <w:rsid w:val="004003FE"/>
    <w:rsid w:val="00416420"/>
    <w:rsid w:val="00423484"/>
    <w:rsid w:val="004360A2"/>
    <w:rsid w:val="00442BB6"/>
    <w:rsid w:val="00444ADC"/>
    <w:rsid w:val="00445407"/>
    <w:rsid w:val="00451066"/>
    <w:rsid w:val="0047111F"/>
    <w:rsid w:val="004737EF"/>
    <w:rsid w:val="004813F6"/>
    <w:rsid w:val="00485B06"/>
    <w:rsid w:val="004860A2"/>
    <w:rsid w:val="00494A44"/>
    <w:rsid w:val="0049674B"/>
    <w:rsid w:val="004A01F9"/>
    <w:rsid w:val="004A370F"/>
    <w:rsid w:val="004A430A"/>
    <w:rsid w:val="004A4991"/>
    <w:rsid w:val="004A5770"/>
    <w:rsid w:val="004B38D4"/>
    <w:rsid w:val="004B3F87"/>
    <w:rsid w:val="004B7B72"/>
    <w:rsid w:val="004C064F"/>
    <w:rsid w:val="004C6D8F"/>
    <w:rsid w:val="004C7FD4"/>
    <w:rsid w:val="004D144F"/>
    <w:rsid w:val="004D5751"/>
    <w:rsid w:val="004E2381"/>
    <w:rsid w:val="004E6651"/>
    <w:rsid w:val="004E7FFD"/>
    <w:rsid w:val="004F1D60"/>
    <w:rsid w:val="004F2DDB"/>
    <w:rsid w:val="004F771C"/>
    <w:rsid w:val="00503EE5"/>
    <w:rsid w:val="00504673"/>
    <w:rsid w:val="005056B6"/>
    <w:rsid w:val="00507C3A"/>
    <w:rsid w:val="005116EC"/>
    <w:rsid w:val="0051411A"/>
    <w:rsid w:val="00521592"/>
    <w:rsid w:val="00536966"/>
    <w:rsid w:val="005405DF"/>
    <w:rsid w:val="00542963"/>
    <w:rsid w:val="0054681A"/>
    <w:rsid w:val="00551BF4"/>
    <w:rsid w:val="00554113"/>
    <w:rsid w:val="00564B33"/>
    <w:rsid w:val="0056766D"/>
    <w:rsid w:val="005707BE"/>
    <w:rsid w:val="00576514"/>
    <w:rsid w:val="005815B4"/>
    <w:rsid w:val="00582E04"/>
    <w:rsid w:val="005837E6"/>
    <w:rsid w:val="005914F3"/>
    <w:rsid w:val="00592E26"/>
    <w:rsid w:val="00593847"/>
    <w:rsid w:val="005959B9"/>
    <w:rsid w:val="005A4B25"/>
    <w:rsid w:val="005A5DAC"/>
    <w:rsid w:val="005B11F2"/>
    <w:rsid w:val="005B5138"/>
    <w:rsid w:val="005B517D"/>
    <w:rsid w:val="005B7989"/>
    <w:rsid w:val="005D6598"/>
    <w:rsid w:val="005D7D5F"/>
    <w:rsid w:val="005E0188"/>
    <w:rsid w:val="005E3D3C"/>
    <w:rsid w:val="005E6AAB"/>
    <w:rsid w:val="005F62CE"/>
    <w:rsid w:val="00607DC8"/>
    <w:rsid w:val="00615574"/>
    <w:rsid w:val="006202A7"/>
    <w:rsid w:val="006263CD"/>
    <w:rsid w:val="00631AA6"/>
    <w:rsid w:val="006375C7"/>
    <w:rsid w:val="00637D80"/>
    <w:rsid w:val="00643987"/>
    <w:rsid w:val="00650CDD"/>
    <w:rsid w:val="006522AF"/>
    <w:rsid w:val="006623C7"/>
    <w:rsid w:val="00662A1F"/>
    <w:rsid w:val="00662A53"/>
    <w:rsid w:val="00666BE9"/>
    <w:rsid w:val="006701A6"/>
    <w:rsid w:val="00670B4A"/>
    <w:rsid w:val="00677981"/>
    <w:rsid w:val="006853B5"/>
    <w:rsid w:val="00686451"/>
    <w:rsid w:val="006B2654"/>
    <w:rsid w:val="006B394D"/>
    <w:rsid w:val="006C2AA4"/>
    <w:rsid w:val="006C3384"/>
    <w:rsid w:val="006C3857"/>
    <w:rsid w:val="006C43C5"/>
    <w:rsid w:val="006C4D2C"/>
    <w:rsid w:val="006C5EA4"/>
    <w:rsid w:val="006D2A74"/>
    <w:rsid w:val="006E5626"/>
    <w:rsid w:val="006E665E"/>
    <w:rsid w:val="00701CEE"/>
    <w:rsid w:val="00702E4B"/>
    <w:rsid w:val="007041A5"/>
    <w:rsid w:val="00715ED9"/>
    <w:rsid w:val="00722B06"/>
    <w:rsid w:val="00727B1F"/>
    <w:rsid w:val="007313C6"/>
    <w:rsid w:val="007358A0"/>
    <w:rsid w:val="007466A1"/>
    <w:rsid w:val="00755188"/>
    <w:rsid w:val="00761F4B"/>
    <w:rsid w:val="0076489D"/>
    <w:rsid w:val="007700CB"/>
    <w:rsid w:val="00775FB1"/>
    <w:rsid w:val="00776D56"/>
    <w:rsid w:val="00783018"/>
    <w:rsid w:val="0079308C"/>
    <w:rsid w:val="00794D99"/>
    <w:rsid w:val="0079501C"/>
    <w:rsid w:val="007971AC"/>
    <w:rsid w:val="007C36C7"/>
    <w:rsid w:val="007C7F74"/>
    <w:rsid w:val="007D0BB3"/>
    <w:rsid w:val="007D1535"/>
    <w:rsid w:val="007D330B"/>
    <w:rsid w:val="007D54A9"/>
    <w:rsid w:val="007E7EF1"/>
    <w:rsid w:val="007F045D"/>
    <w:rsid w:val="00801D99"/>
    <w:rsid w:val="0080212B"/>
    <w:rsid w:val="00802D14"/>
    <w:rsid w:val="00802F3F"/>
    <w:rsid w:val="008042C0"/>
    <w:rsid w:val="0081378F"/>
    <w:rsid w:val="00815184"/>
    <w:rsid w:val="0081772F"/>
    <w:rsid w:val="00822D23"/>
    <w:rsid w:val="00826FB3"/>
    <w:rsid w:val="00836F9C"/>
    <w:rsid w:val="00844F23"/>
    <w:rsid w:val="0085409C"/>
    <w:rsid w:val="008575D2"/>
    <w:rsid w:val="00866ECD"/>
    <w:rsid w:val="008670ED"/>
    <w:rsid w:val="00871524"/>
    <w:rsid w:val="00873497"/>
    <w:rsid w:val="00873ECF"/>
    <w:rsid w:val="008740CD"/>
    <w:rsid w:val="0088205F"/>
    <w:rsid w:val="00882A33"/>
    <w:rsid w:val="00883F11"/>
    <w:rsid w:val="00887100"/>
    <w:rsid w:val="008905C9"/>
    <w:rsid w:val="00891AD6"/>
    <w:rsid w:val="0089795E"/>
    <w:rsid w:val="008A0E47"/>
    <w:rsid w:val="008B0CA9"/>
    <w:rsid w:val="008C4E20"/>
    <w:rsid w:val="008C5217"/>
    <w:rsid w:val="008C5AFB"/>
    <w:rsid w:val="008D4704"/>
    <w:rsid w:val="008D714A"/>
    <w:rsid w:val="008E5CA5"/>
    <w:rsid w:val="008E706D"/>
    <w:rsid w:val="008F6A59"/>
    <w:rsid w:val="00900775"/>
    <w:rsid w:val="00901181"/>
    <w:rsid w:val="009029E2"/>
    <w:rsid w:val="009046C2"/>
    <w:rsid w:val="0091245D"/>
    <w:rsid w:val="00913A07"/>
    <w:rsid w:val="00930563"/>
    <w:rsid w:val="00942304"/>
    <w:rsid w:val="00947904"/>
    <w:rsid w:val="00951634"/>
    <w:rsid w:val="00972B63"/>
    <w:rsid w:val="00974164"/>
    <w:rsid w:val="00983AFB"/>
    <w:rsid w:val="00990C56"/>
    <w:rsid w:val="00995B3C"/>
    <w:rsid w:val="00995D1A"/>
    <w:rsid w:val="009B2A9A"/>
    <w:rsid w:val="009B4640"/>
    <w:rsid w:val="009C4BB9"/>
    <w:rsid w:val="009C600D"/>
    <w:rsid w:val="009D252B"/>
    <w:rsid w:val="009D541A"/>
    <w:rsid w:val="009D5879"/>
    <w:rsid w:val="009E035E"/>
    <w:rsid w:val="009E059D"/>
    <w:rsid w:val="009E20BB"/>
    <w:rsid w:val="009E2731"/>
    <w:rsid w:val="009E7436"/>
    <w:rsid w:val="009F2318"/>
    <w:rsid w:val="009F24E8"/>
    <w:rsid w:val="009F591B"/>
    <w:rsid w:val="00A07ED4"/>
    <w:rsid w:val="00A102CC"/>
    <w:rsid w:val="00A103A9"/>
    <w:rsid w:val="00A139A2"/>
    <w:rsid w:val="00A14EBE"/>
    <w:rsid w:val="00A22BD7"/>
    <w:rsid w:val="00A35B51"/>
    <w:rsid w:val="00A36B0E"/>
    <w:rsid w:val="00A36E2A"/>
    <w:rsid w:val="00A37BB8"/>
    <w:rsid w:val="00A37E27"/>
    <w:rsid w:val="00A40390"/>
    <w:rsid w:val="00A41145"/>
    <w:rsid w:val="00A42ABF"/>
    <w:rsid w:val="00A51525"/>
    <w:rsid w:val="00A5180B"/>
    <w:rsid w:val="00A51ECE"/>
    <w:rsid w:val="00A5505A"/>
    <w:rsid w:val="00A615FA"/>
    <w:rsid w:val="00A644F8"/>
    <w:rsid w:val="00A7094C"/>
    <w:rsid w:val="00A70D26"/>
    <w:rsid w:val="00A77933"/>
    <w:rsid w:val="00A8684E"/>
    <w:rsid w:val="00A879D6"/>
    <w:rsid w:val="00AA06F3"/>
    <w:rsid w:val="00AA49A3"/>
    <w:rsid w:val="00AA62AE"/>
    <w:rsid w:val="00AB11F9"/>
    <w:rsid w:val="00AB2DC3"/>
    <w:rsid w:val="00AB3BD9"/>
    <w:rsid w:val="00AB5226"/>
    <w:rsid w:val="00AC0F2A"/>
    <w:rsid w:val="00AC0F91"/>
    <w:rsid w:val="00AE169D"/>
    <w:rsid w:val="00B0095E"/>
    <w:rsid w:val="00B019C8"/>
    <w:rsid w:val="00B05955"/>
    <w:rsid w:val="00B074D4"/>
    <w:rsid w:val="00B16C32"/>
    <w:rsid w:val="00B20106"/>
    <w:rsid w:val="00B26B19"/>
    <w:rsid w:val="00B51BB8"/>
    <w:rsid w:val="00B526B7"/>
    <w:rsid w:val="00B63A06"/>
    <w:rsid w:val="00B656E4"/>
    <w:rsid w:val="00B70D04"/>
    <w:rsid w:val="00B7144F"/>
    <w:rsid w:val="00B82644"/>
    <w:rsid w:val="00B8312B"/>
    <w:rsid w:val="00B84C88"/>
    <w:rsid w:val="00B91681"/>
    <w:rsid w:val="00B952B7"/>
    <w:rsid w:val="00B96A05"/>
    <w:rsid w:val="00BA0D5A"/>
    <w:rsid w:val="00BA0EBB"/>
    <w:rsid w:val="00BA1191"/>
    <w:rsid w:val="00BA4970"/>
    <w:rsid w:val="00BA52E1"/>
    <w:rsid w:val="00BA6BE2"/>
    <w:rsid w:val="00BB6C5C"/>
    <w:rsid w:val="00BC50BF"/>
    <w:rsid w:val="00BC6F85"/>
    <w:rsid w:val="00BC749A"/>
    <w:rsid w:val="00BD046F"/>
    <w:rsid w:val="00BD1DC5"/>
    <w:rsid w:val="00BD6175"/>
    <w:rsid w:val="00BE433B"/>
    <w:rsid w:val="00BE7FAE"/>
    <w:rsid w:val="00BF15ED"/>
    <w:rsid w:val="00BF6D5E"/>
    <w:rsid w:val="00C005C8"/>
    <w:rsid w:val="00C02185"/>
    <w:rsid w:val="00C02A15"/>
    <w:rsid w:val="00C04FC4"/>
    <w:rsid w:val="00C13C91"/>
    <w:rsid w:val="00C14FDA"/>
    <w:rsid w:val="00C168FF"/>
    <w:rsid w:val="00C174F6"/>
    <w:rsid w:val="00C25AE4"/>
    <w:rsid w:val="00C26C70"/>
    <w:rsid w:val="00C338D0"/>
    <w:rsid w:val="00C35009"/>
    <w:rsid w:val="00C35AEA"/>
    <w:rsid w:val="00C41985"/>
    <w:rsid w:val="00C436DA"/>
    <w:rsid w:val="00C479F1"/>
    <w:rsid w:val="00C55BE7"/>
    <w:rsid w:val="00C56D49"/>
    <w:rsid w:val="00C61FF5"/>
    <w:rsid w:val="00C66D7A"/>
    <w:rsid w:val="00C66F78"/>
    <w:rsid w:val="00C7756C"/>
    <w:rsid w:val="00C810C1"/>
    <w:rsid w:val="00C811AD"/>
    <w:rsid w:val="00C81C5B"/>
    <w:rsid w:val="00C84A40"/>
    <w:rsid w:val="00C84CDA"/>
    <w:rsid w:val="00C86ABB"/>
    <w:rsid w:val="00C87C1C"/>
    <w:rsid w:val="00C903CF"/>
    <w:rsid w:val="00C90E8B"/>
    <w:rsid w:val="00C93DE8"/>
    <w:rsid w:val="00C94B17"/>
    <w:rsid w:val="00C96BFB"/>
    <w:rsid w:val="00CA2193"/>
    <w:rsid w:val="00CA41F2"/>
    <w:rsid w:val="00CB08CA"/>
    <w:rsid w:val="00CB1149"/>
    <w:rsid w:val="00CB30CD"/>
    <w:rsid w:val="00CC22D4"/>
    <w:rsid w:val="00CC5DFD"/>
    <w:rsid w:val="00CD0992"/>
    <w:rsid w:val="00CE0FB8"/>
    <w:rsid w:val="00CE17DA"/>
    <w:rsid w:val="00CE2925"/>
    <w:rsid w:val="00CE34C7"/>
    <w:rsid w:val="00CF0BA2"/>
    <w:rsid w:val="00D0376B"/>
    <w:rsid w:val="00D1641A"/>
    <w:rsid w:val="00D207EF"/>
    <w:rsid w:val="00D2303D"/>
    <w:rsid w:val="00D27C83"/>
    <w:rsid w:val="00D31889"/>
    <w:rsid w:val="00D32260"/>
    <w:rsid w:val="00D334D4"/>
    <w:rsid w:val="00D41A2A"/>
    <w:rsid w:val="00D41BF1"/>
    <w:rsid w:val="00D6202B"/>
    <w:rsid w:val="00D700FB"/>
    <w:rsid w:val="00D76072"/>
    <w:rsid w:val="00D8032E"/>
    <w:rsid w:val="00D8425C"/>
    <w:rsid w:val="00D91757"/>
    <w:rsid w:val="00D9577E"/>
    <w:rsid w:val="00D96D15"/>
    <w:rsid w:val="00D96E07"/>
    <w:rsid w:val="00DA1236"/>
    <w:rsid w:val="00DA6189"/>
    <w:rsid w:val="00DB148F"/>
    <w:rsid w:val="00DB5C52"/>
    <w:rsid w:val="00DC1E79"/>
    <w:rsid w:val="00DC385E"/>
    <w:rsid w:val="00DD4BD2"/>
    <w:rsid w:val="00DD6002"/>
    <w:rsid w:val="00DE4820"/>
    <w:rsid w:val="00DE5280"/>
    <w:rsid w:val="00DE7A7B"/>
    <w:rsid w:val="00DF2541"/>
    <w:rsid w:val="00DF6E32"/>
    <w:rsid w:val="00DF7077"/>
    <w:rsid w:val="00E017DC"/>
    <w:rsid w:val="00E01E51"/>
    <w:rsid w:val="00E02A32"/>
    <w:rsid w:val="00E11D9B"/>
    <w:rsid w:val="00E15E1F"/>
    <w:rsid w:val="00E17747"/>
    <w:rsid w:val="00E21D66"/>
    <w:rsid w:val="00E321B0"/>
    <w:rsid w:val="00E40ABF"/>
    <w:rsid w:val="00E41EF4"/>
    <w:rsid w:val="00E54EA9"/>
    <w:rsid w:val="00E566A6"/>
    <w:rsid w:val="00E61D9F"/>
    <w:rsid w:val="00E63EBA"/>
    <w:rsid w:val="00E65EEE"/>
    <w:rsid w:val="00E73D60"/>
    <w:rsid w:val="00E75FE6"/>
    <w:rsid w:val="00E82E48"/>
    <w:rsid w:val="00E83ECC"/>
    <w:rsid w:val="00E9227E"/>
    <w:rsid w:val="00E9255E"/>
    <w:rsid w:val="00E9477D"/>
    <w:rsid w:val="00EA2256"/>
    <w:rsid w:val="00EA3F51"/>
    <w:rsid w:val="00EA4C1C"/>
    <w:rsid w:val="00EB1A9A"/>
    <w:rsid w:val="00EB78A3"/>
    <w:rsid w:val="00ED0116"/>
    <w:rsid w:val="00ED6014"/>
    <w:rsid w:val="00EE028F"/>
    <w:rsid w:val="00EF64C0"/>
    <w:rsid w:val="00F01A70"/>
    <w:rsid w:val="00F02E13"/>
    <w:rsid w:val="00F0373B"/>
    <w:rsid w:val="00F04566"/>
    <w:rsid w:val="00F04DB9"/>
    <w:rsid w:val="00F07861"/>
    <w:rsid w:val="00F15669"/>
    <w:rsid w:val="00F16CC8"/>
    <w:rsid w:val="00F2138A"/>
    <w:rsid w:val="00F47F3B"/>
    <w:rsid w:val="00F5399D"/>
    <w:rsid w:val="00F55EFB"/>
    <w:rsid w:val="00F63E4B"/>
    <w:rsid w:val="00F65EF6"/>
    <w:rsid w:val="00F74A88"/>
    <w:rsid w:val="00F765E1"/>
    <w:rsid w:val="00F76699"/>
    <w:rsid w:val="00F77D9C"/>
    <w:rsid w:val="00F83087"/>
    <w:rsid w:val="00F971B6"/>
    <w:rsid w:val="00FB5524"/>
    <w:rsid w:val="00FB55D7"/>
    <w:rsid w:val="00FB7CF8"/>
    <w:rsid w:val="00FC1B3A"/>
    <w:rsid w:val="00FC460D"/>
    <w:rsid w:val="00FD609C"/>
    <w:rsid w:val="00FE1ACE"/>
    <w:rsid w:val="00FF0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3914"/>
  <w15:docId w15:val="{30345131-22AB-4C7F-BF86-0CC293A2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1C"/>
    <w:pPr>
      <w:spacing w:after="0" w:line="240" w:lineRule="auto"/>
    </w:pPr>
  </w:style>
  <w:style w:type="paragraph" w:styleId="Heading3">
    <w:name w:val="heading 3"/>
    <w:basedOn w:val="Normal"/>
    <w:link w:val="Heading3Char"/>
    <w:uiPriority w:val="9"/>
    <w:qFormat/>
    <w:rsid w:val="00815184"/>
    <w:pPr>
      <w:spacing w:before="100" w:beforeAutospacing="1" w:after="72" w:line="336" w:lineRule="atLeast"/>
      <w:outlineLvl w:val="2"/>
    </w:pPr>
    <w:rPr>
      <w:rFonts w:ascii="DaxWeb" w:eastAsia="Times New Roman" w:hAnsi="DaxWeb" w:cs="Times New Roman"/>
      <w:b/>
      <w:bCs/>
      <w:color w:val="234F96"/>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A4C1C"/>
    <w:pPr>
      <w:ind w:left="720"/>
      <w:contextualSpacing/>
    </w:pPr>
  </w:style>
  <w:style w:type="table" w:styleId="TableGrid">
    <w:name w:val="Table Grid"/>
    <w:basedOn w:val="TableNormal"/>
    <w:uiPriority w:val="59"/>
    <w:rsid w:val="00A5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7077"/>
    <w:rPr>
      <w:sz w:val="16"/>
      <w:szCs w:val="16"/>
    </w:rPr>
  </w:style>
  <w:style w:type="paragraph" w:styleId="CommentText">
    <w:name w:val="annotation text"/>
    <w:basedOn w:val="Normal"/>
    <w:link w:val="CommentTextChar"/>
    <w:uiPriority w:val="99"/>
    <w:semiHidden/>
    <w:unhideWhenUsed/>
    <w:rsid w:val="00DF7077"/>
    <w:rPr>
      <w:sz w:val="20"/>
      <w:szCs w:val="20"/>
    </w:rPr>
  </w:style>
  <w:style w:type="character" w:customStyle="1" w:styleId="CommentTextChar">
    <w:name w:val="Comment Text Char"/>
    <w:basedOn w:val="DefaultParagraphFont"/>
    <w:link w:val="CommentText"/>
    <w:uiPriority w:val="99"/>
    <w:semiHidden/>
    <w:rsid w:val="00DF7077"/>
    <w:rPr>
      <w:sz w:val="20"/>
      <w:szCs w:val="20"/>
    </w:rPr>
  </w:style>
  <w:style w:type="paragraph" w:styleId="CommentSubject">
    <w:name w:val="annotation subject"/>
    <w:basedOn w:val="CommentText"/>
    <w:next w:val="CommentText"/>
    <w:link w:val="CommentSubjectChar"/>
    <w:uiPriority w:val="99"/>
    <w:semiHidden/>
    <w:unhideWhenUsed/>
    <w:rsid w:val="00DF7077"/>
    <w:rPr>
      <w:b/>
      <w:bCs/>
    </w:rPr>
  </w:style>
  <w:style w:type="character" w:customStyle="1" w:styleId="CommentSubjectChar">
    <w:name w:val="Comment Subject Char"/>
    <w:basedOn w:val="CommentTextChar"/>
    <w:link w:val="CommentSubject"/>
    <w:uiPriority w:val="99"/>
    <w:semiHidden/>
    <w:rsid w:val="00DF7077"/>
    <w:rPr>
      <w:b/>
      <w:bCs/>
      <w:sz w:val="20"/>
      <w:szCs w:val="20"/>
    </w:rPr>
  </w:style>
  <w:style w:type="paragraph" w:styleId="BalloonText">
    <w:name w:val="Balloon Text"/>
    <w:basedOn w:val="Normal"/>
    <w:link w:val="BalloonTextChar"/>
    <w:uiPriority w:val="99"/>
    <w:semiHidden/>
    <w:unhideWhenUsed/>
    <w:rsid w:val="00DF7077"/>
    <w:rPr>
      <w:rFonts w:ascii="Tahoma" w:hAnsi="Tahoma" w:cs="Tahoma"/>
      <w:sz w:val="16"/>
      <w:szCs w:val="16"/>
    </w:rPr>
  </w:style>
  <w:style w:type="character" w:customStyle="1" w:styleId="BalloonTextChar">
    <w:name w:val="Balloon Text Char"/>
    <w:basedOn w:val="DefaultParagraphFont"/>
    <w:link w:val="BalloonText"/>
    <w:uiPriority w:val="99"/>
    <w:semiHidden/>
    <w:rsid w:val="00DF7077"/>
    <w:rPr>
      <w:rFonts w:ascii="Tahoma" w:hAnsi="Tahoma" w:cs="Tahoma"/>
      <w:sz w:val="16"/>
      <w:szCs w:val="16"/>
    </w:rPr>
  </w:style>
  <w:style w:type="paragraph" w:styleId="FootnoteText">
    <w:name w:val="footnote text"/>
    <w:basedOn w:val="Normal"/>
    <w:link w:val="FootnoteTextChar"/>
    <w:uiPriority w:val="99"/>
    <w:semiHidden/>
    <w:unhideWhenUsed/>
    <w:rsid w:val="006623C7"/>
    <w:rPr>
      <w:sz w:val="20"/>
      <w:szCs w:val="20"/>
    </w:rPr>
  </w:style>
  <w:style w:type="character" w:customStyle="1" w:styleId="FootnoteTextChar">
    <w:name w:val="Footnote Text Char"/>
    <w:basedOn w:val="DefaultParagraphFont"/>
    <w:link w:val="FootnoteText"/>
    <w:uiPriority w:val="99"/>
    <w:semiHidden/>
    <w:rsid w:val="006623C7"/>
    <w:rPr>
      <w:sz w:val="20"/>
      <w:szCs w:val="20"/>
    </w:rPr>
  </w:style>
  <w:style w:type="character" w:styleId="FootnoteReference">
    <w:name w:val="footnote reference"/>
    <w:basedOn w:val="DefaultParagraphFont"/>
    <w:uiPriority w:val="99"/>
    <w:semiHidden/>
    <w:unhideWhenUsed/>
    <w:rsid w:val="006623C7"/>
    <w:rPr>
      <w:vertAlign w:val="superscript"/>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C6B6D"/>
  </w:style>
  <w:style w:type="paragraph" w:styleId="BodyTextIndent">
    <w:name w:val="Body Text Indent"/>
    <w:basedOn w:val="Normal"/>
    <w:link w:val="BodyTextIndentChar"/>
    <w:rsid w:val="008575D2"/>
    <w:pPr>
      <w:ind w:left="720" w:hanging="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8575D2"/>
    <w:rPr>
      <w:rFonts w:ascii="Times New Roman" w:eastAsia="Times New Roman" w:hAnsi="Times New Roman" w:cs="Times New Roman"/>
      <w:b/>
      <w:bCs/>
      <w:sz w:val="24"/>
      <w:szCs w:val="24"/>
    </w:rPr>
  </w:style>
  <w:style w:type="paragraph" w:customStyle="1" w:styleId="Bullets">
    <w:name w:val="Bullets"/>
    <w:rsid w:val="008575D2"/>
    <w:pPr>
      <w:numPr>
        <w:numId w:val="2"/>
      </w:numPr>
      <w:spacing w:after="120" w:line="240" w:lineRule="auto"/>
      <w:ind w:left="360" w:firstLine="0"/>
      <w:jc w:val="both"/>
    </w:pPr>
    <w:rPr>
      <w:rFonts w:ascii="Arial" w:eastAsia="Times New Roman" w:hAnsi="Arial" w:cs="Times New Roman"/>
      <w:noProof/>
      <w:sz w:val="24"/>
      <w:szCs w:val="20"/>
    </w:rPr>
  </w:style>
  <w:style w:type="character" w:styleId="Hyperlink">
    <w:name w:val="Hyperlink"/>
    <w:basedOn w:val="DefaultParagraphFont"/>
    <w:uiPriority w:val="99"/>
    <w:semiHidden/>
    <w:unhideWhenUsed/>
    <w:rsid w:val="00815184"/>
    <w:rPr>
      <w:strike w:val="0"/>
      <w:dstrike w:val="0"/>
      <w:color w:val="2C4586"/>
      <w:u w:val="none"/>
      <w:effect w:val="none"/>
    </w:rPr>
  </w:style>
  <w:style w:type="paragraph" w:styleId="NormalWeb">
    <w:name w:val="Normal (Web)"/>
    <w:basedOn w:val="Normal"/>
    <w:uiPriority w:val="99"/>
    <w:unhideWhenUsed/>
    <w:rsid w:val="00815184"/>
    <w:pPr>
      <w:spacing w:before="100" w:beforeAutospacing="1" w:after="240" w:line="384" w:lineRule="atLeast"/>
    </w:pPr>
    <w:rPr>
      <w:rFonts w:ascii="Arial" w:eastAsia="Times New Roman" w:hAnsi="Arial" w:cs="Arial"/>
      <w:sz w:val="24"/>
      <w:szCs w:val="24"/>
      <w:lang w:eastAsia="en-GB"/>
    </w:rPr>
  </w:style>
  <w:style w:type="character" w:styleId="Strong">
    <w:name w:val="Strong"/>
    <w:basedOn w:val="DefaultParagraphFont"/>
    <w:uiPriority w:val="22"/>
    <w:qFormat/>
    <w:rsid w:val="00815184"/>
    <w:rPr>
      <w:b/>
      <w:bCs/>
    </w:rPr>
  </w:style>
  <w:style w:type="character" w:customStyle="1" w:styleId="Heading3Char">
    <w:name w:val="Heading 3 Char"/>
    <w:basedOn w:val="DefaultParagraphFont"/>
    <w:link w:val="Heading3"/>
    <w:uiPriority w:val="9"/>
    <w:rsid w:val="00815184"/>
    <w:rPr>
      <w:rFonts w:ascii="DaxWeb" w:eastAsia="Times New Roman" w:hAnsi="DaxWeb" w:cs="Times New Roman"/>
      <w:b/>
      <w:bCs/>
      <w:color w:val="234F96"/>
      <w:sz w:val="34"/>
      <w:szCs w:val="34"/>
      <w:lang w:eastAsia="en-GB"/>
    </w:rPr>
  </w:style>
  <w:style w:type="paragraph" w:styleId="Header">
    <w:name w:val="header"/>
    <w:basedOn w:val="Normal"/>
    <w:link w:val="HeaderChar"/>
    <w:uiPriority w:val="99"/>
    <w:unhideWhenUsed/>
    <w:rsid w:val="004F771C"/>
    <w:pPr>
      <w:tabs>
        <w:tab w:val="center" w:pos="4513"/>
        <w:tab w:val="right" w:pos="9026"/>
      </w:tabs>
    </w:pPr>
  </w:style>
  <w:style w:type="character" w:customStyle="1" w:styleId="HeaderChar">
    <w:name w:val="Header Char"/>
    <w:basedOn w:val="DefaultParagraphFont"/>
    <w:link w:val="Header"/>
    <w:uiPriority w:val="99"/>
    <w:rsid w:val="004F771C"/>
  </w:style>
  <w:style w:type="paragraph" w:styleId="Footer">
    <w:name w:val="footer"/>
    <w:basedOn w:val="Normal"/>
    <w:link w:val="FooterChar"/>
    <w:uiPriority w:val="99"/>
    <w:unhideWhenUsed/>
    <w:rsid w:val="004F771C"/>
    <w:pPr>
      <w:tabs>
        <w:tab w:val="center" w:pos="4513"/>
        <w:tab w:val="right" w:pos="9026"/>
      </w:tabs>
    </w:pPr>
  </w:style>
  <w:style w:type="character" w:customStyle="1" w:styleId="FooterChar">
    <w:name w:val="Footer Char"/>
    <w:basedOn w:val="DefaultParagraphFont"/>
    <w:link w:val="Footer"/>
    <w:uiPriority w:val="99"/>
    <w:rsid w:val="004F771C"/>
  </w:style>
  <w:style w:type="paragraph" w:styleId="Revision">
    <w:name w:val="Revision"/>
    <w:hidden/>
    <w:uiPriority w:val="99"/>
    <w:semiHidden/>
    <w:rsid w:val="00D62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3960">
      <w:bodyDiv w:val="1"/>
      <w:marLeft w:val="0"/>
      <w:marRight w:val="0"/>
      <w:marTop w:val="0"/>
      <w:marBottom w:val="0"/>
      <w:divBdr>
        <w:top w:val="none" w:sz="0" w:space="0" w:color="auto"/>
        <w:left w:val="none" w:sz="0" w:space="0" w:color="auto"/>
        <w:bottom w:val="none" w:sz="0" w:space="0" w:color="auto"/>
        <w:right w:val="none" w:sz="0" w:space="0" w:color="auto"/>
      </w:divBdr>
      <w:divsChild>
        <w:div w:id="1950433555">
          <w:marLeft w:val="0"/>
          <w:marRight w:val="0"/>
          <w:marTop w:val="0"/>
          <w:marBottom w:val="0"/>
          <w:divBdr>
            <w:top w:val="none" w:sz="0" w:space="0" w:color="auto"/>
            <w:left w:val="none" w:sz="0" w:space="0" w:color="auto"/>
            <w:bottom w:val="none" w:sz="0" w:space="0" w:color="auto"/>
            <w:right w:val="none" w:sz="0" w:space="0" w:color="auto"/>
          </w:divBdr>
          <w:divsChild>
            <w:div w:id="5038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8421">
      <w:bodyDiv w:val="1"/>
      <w:marLeft w:val="0"/>
      <w:marRight w:val="0"/>
      <w:marTop w:val="0"/>
      <w:marBottom w:val="0"/>
      <w:divBdr>
        <w:top w:val="none" w:sz="0" w:space="0" w:color="auto"/>
        <w:left w:val="none" w:sz="0" w:space="0" w:color="auto"/>
        <w:bottom w:val="none" w:sz="0" w:space="0" w:color="auto"/>
        <w:right w:val="none" w:sz="0" w:space="0" w:color="auto"/>
      </w:divBdr>
    </w:div>
    <w:div w:id="424695304">
      <w:bodyDiv w:val="1"/>
      <w:marLeft w:val="0"/>
      <w:marRight w:val="0"/>
      <w:marTop w:val="0"/>
      <w:marBottom w:val="0"/>
      <w:divBdr>
        <w:top w:val="none" w:sz="0" w:space="0" w:color="auto"/>
        <w:left w:val="none" w:sz="0" w:space="0" w:color="auto"/>
        <w:bottom w:val="none" w:sz="0" w:space="0" w:color="auto"/>
        <w:right w:val="none" w:sz="0" w:space="0" w:color="auto"/>
      </w:divBdr>
      <w:divsChild>
        <w:div w:id="702484842">
          <w:marLeft w:val="0"/>
          <w:marRight w:val="0"/>
          <w:marTop w:val="0"/>
          <w:marBottom w:val="0"/>
          <w:divBdr>
            <w:top w:val="none" w:sz="0" w:space="0" w:color="auto"/>
            <w:left w:val="none" w:sz="0" w:space="0" w:color="auto"/>
            <w:bottom w:val="none" w:sz="0" w:space="0" w:color="auto"/>
            <w:right w:val="none" w:sz="0" w:space="0" w:color="auto"/>
          </w:divBdr>
          <w:divsChild>
            <w:div w:id="15449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302">
      <w:bodyDiv w:val="1"/>
      <w:marLeft w:val="0"/>
      <w:marRight w:val="0"/>
      <w:marTop w:val="0"/>
      <w:marBottom w:val="0"/>
      <w:divBdr>
        <w:top w:val="none" w:sz="0" w:space="0" w:color="auto"/>
        <w:left w:val="none" w:sz="0" w:space="0" w:color="auto"/>
        <w:bottom w:val="none" w:sz="0" w:space="0" w:color="auto"/>
        <w:right w:val="none" w:sz="0" w:space="0" w:color="auto"/>
      </w:divBdr>
      <w:divsChild>
        <w:div w:id="1219315704">
          <w:marLeft w:val="0"/>
          <w:marRight w:val="0"/>
          <w:marTop w:val="0"/>
          <w:marBottom w:val="0"/>
          <w:divBdr>
            <w:top w:val="none" w:sz="0" w:space="0" w:color="auto"/>
            <w:left w:val="none" w:sz="0" w:space="0" w:color="auto"/>
            <w:bottom w:val="none" w:sz="0" w:space="0" w:color="auto"/>
            <w:right w:val="none" w:sz="0" w:space="0" w:color="auto"/>
          </w:divBdr>
          <w:divsChild>
            <w:div w:id="1065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8538">
      <w:bodyDiv w:val="1"/>
      <w:marLeft w:val="0"/>
      <w:marRight w:val="0"/>
      <w:marTop w:val="0"/>
      <w:marBottom w:val="0"/>
      <w:divBdr>
        <w:top w:val="none" w:sz="0" w:space="0" w:color="auto"/>
        <w:left w:val="none" w:sz="0" w:space="0" w:color="auto"/>
        <w:bottom w:val="none" w:sz="0" w:space="0" w:color="auto"/>
        <w:right w:val="none" w:sz="0" w:space="0" w:color="auto"/>
      </w:divBdr>
      <w:divsChild>
        <w:div w:id="118955097">
          <w:marLeft w:val="0"/>
          <w:marRight w:val="0"/>
          <w:marTop w:val="0"/>
          <w:marBottom w:val="0"/>
          <w:divBdr>
            <w:top w:val="none" w:sz="0" w:space="0" w:color="auto"/>
            <w:left w:val="none" w:sz="0" w:space="0" w:color="auto"/>
            <w:bottom w:val="none" w:sz="0" w:space="0" w:color="auto"/>
            <w:right w:val="none" w:sz="0" w:space="0" w:color="auto"/>
          </w:divBdr>
          <w:divsChild>
            <w:div w:id="11808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4788">
      <w:bodyDiv w:val="1"/>
      <w:marLeft w:val="0"/>
      <w:marRight w:val="0"/>
      <w:marTop w:val="0"/>
      <w:marBottom w:val="0"/>
      <w:divBdr>
        <w:top w:val="none" w:sz="0" w:space="0" w:color="auto"/>
        <w:left w:val="none" w:sz="0" w:space="0" w:color="auto"/>
        <w:bottom w:val="none" w:sz="0" w:space="0" w:color="auto"/>
        <w:right w:val="none" w:sz="0" w:space="0" w:color="auto"/>
      </w:divBdr>
      <w:divsChild>
        <w:div w:id="885675839">
          <w:marLeft w:val="0"/>
          <w:marRight w:val="0"/>
          <w:marTop w:val="0"/>
          <w:marBottom w:val="0"/>
          <w:divBdr>
            <w:top w:val="none" w:sz="0" w:space="0" w:color="auto"/>
            <w:left w:val="none" w:sz="0" w:space="0" w:color="auto"/>
            <w:bottom w:val="none" w:sz="0" w:space="0" w:color="auto"/>
            <w:right w:val="none" w:sz="0" w:space="0" w:color="auto"/>
          </w:divBdr>
          <w:divsChild>
            <w:div w:id="14200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8374">
      <w:bodyDiv w:val="1"/>
      <w:marLeft w:val="0"/>
      <w:marRight w:val="0"/>
      <w:marTop w:val="0"/>
      <w:marBottom w:val="0"/>
      <w:divBdr>
        <w:top w:val="none" w:sz="0" w:space="0" w:color="auto"/>
        <w:left w:val="none" w:sz="0" w:space="0" w:color="auto"/>
        <w:bottom w:val="none" w:sz="0" w:space="0" w:color="auto"/>
        <w:right w:val="none" w:sz="0" w:space="0" w:color="auto"/>
      </w:divBdr>
      <w:divsChild>
        <w:div w:id="1912693658">
          <w:marLeft w:val="0"/>
          <w:marRight w:val="0"/>
          <w:marTop w:val="0"/>
          <w:marBottom w:val="0"/>
          <w:divBdr>
            <w:top w:val="none" w:sz="0" w:space="0" w:color="auto"/>
            <w:left w:val="none" w:sz="0" w:space="0" w:color="auto"/>
            <w:bottom w:val="none" w:sz="0" w:space="0" w:color="auto"/>
            <w:right w:val="none" w:sz="0" w:space="0" w:color="auto"/>
          </w:divBdr>
          <w:divsChild>
            <w:div w:id="18857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5290">
      <w:bodyDiv w:val="1"/>
      <w:marLeft w:val="0"/>
      <w:marRight w:val="0"/>
      <w:marTop w:val="0"/>
      <w:marBottom w:val="0"/>
      <w:divBdr>
        <w:top w:val="none" w:sz="0" w:space="0" w:color="auto"/>
        <w:left w:val="none" w:sz="0" w:space="0" w:color="auto"/>
        <w:bottom w:val="none" w:sz="0" w:space="0" w:color="auto"/>
        <w:right w:val="none" w:sz="0" w:space="0" w:color="auto"/>
      </w:divBdr>
      <w:divsChild>
        <w:div w:id="472260165">
          <w:marLeft w:val="0"/>
          <w:marRight w:val="0"/>
          <w:marTop w:val="0"/>
          <w:marBottom w:val="0"/>
          <w:divBdr>
            <w:top w:val="none" w:sz="0" w:space="0" w:color="auto"/>
            <w:left w:val="none" w:sz="0" w:space="0" w:color="auto"/>
            <w:bottom w:val="none" w:sz="0" w:space="0" w:color="auto"/>
            <w:right w:val="none" w:sz="0" w:space="0" w:color="auto"/>
          </w:divBdr>
          <w:divsChild>
            <w:div w:id="1072848413">
              <w:marLeft w:val="0"/>
              <w:marRight w:val="0"/>
              <w:marTop w:val="0"/>
              <w:marBottom w:val="0"/>
              <w:divBdr>
                <w:top w:val="none" w:sz="0" w:space="0" w:color="auto"/>
                <w:left w:val="none" w:sz="0" w:space="0" w:color="auto"/>
                <w:bottom w:val="none" w:sz="0" w:space="0" w:color="auto"/>
                <w:right w:val="none" w:sz="0" w:space="0" w:color="auto"/>
              </w:divBdr>
              <w:divsChild>
                <w:div w:id="434834011">
                  <w:marLeft w:val="14"/>
                  <w:marRight w:val="11"/>
                  <w:marTop w:val="0"/>
                  <w:marBottom w:val="0"/>
                  <w:divBdr>
                    <w:top w:val="none" w:sz="0" w:space="0" w:color="auto"/>
                    <w:left w:val="none" w:sz="0" w:space="0" w:color="auto"/>
                    <w:bottom w:val="none" w:sz="0" w:space="0" w:color="auto"/>
                    <w:right w:val="none" w:sz="0" w:space="0" w:color="auto"/>
                  </w:divBdr>
                  <w:divsChild>
                    <w:div w:id="244457632">
                      <w:marLeft w:val="0"/>
                      <w:marRight w:val="0"/>
                      <w:marTop w:val="0"/>
                      <w:marBottom w:val="0"/>
                      <w:divBdr>
                        <w:top w:val="none" w:sz="0" w:space="0" w:color="auto"/>
                        <w:left w:val="none" w:sz="0" w:space="0" w:color="auto"/>
                        <w:bottom w:val="none" w:sz="0" w:space="0" w:color="auto"/>
                        <w:right w:val="none" w:sz="0" w:space="0" w:color="auto"/>
                      </w:divBdr>
                      <w:divsChild>
                        <w:div w:id="212792028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44555">
      <w:bodyDiv w:val="1"/>
      <w:marLeft w:val="0"/>
      <w:marRight w:val="0"/>
      <w:marTop w:val="0"/>
      <w:marBottom w:val="0"/>
      <w:divBdr>
        <w:top w:val="none" w:sz="0" w:space="0" w:color="auto"/>
        <w:left w:val="none" w:sz="0" w:space="0" w:color="auto"/>
        <w:bottom w:val="none" w:sz="0" w:space="0" w:color="auto"/>
        <w:right w:val="none" w:sz="0" w:space="0" w:color="auto"/>
      </w:divBdr>
      <w:divsChild>
        <w:div w:id="680552187">
          <w:marLeft w:val="0"/>
          <w:marRight w:val="0"/>
          <w:marTop w:val="0"/>
          <w:marBottom w:val="0"/>
          <w:divBdr>
            <w:top w:val="none" w:sz="0" w:space="0" w:color="auto"/>
            <w:left w:val="none" w:sz="0" w:space="0" w:color="auto"/>
            <w:bottom w:val="none" w:sz="0" w:space="0" w:color="auto"/>
            <w:right w:val="none" w:sz="0" w:space="0" w:color="auto"/>
          </w:divBdr>
          <w:divsChild>
            <w:div w:id="20926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633">
      <w:bodyDiv w:val="1"/>
      <w:marLeft w:val="0"/>
      <w:marRight w:val="0"/>
      <w:marTop w:val="0"/>
      <w:marBottom w:val="0"/>
      <w:divBdr>
        <w:top w:val="none" w:sz="0" w:space="0" w:color="auto"/>
        <w:left w:val="none" w:sz="0" w:space="0" w:color="auto"/>
        <w:bottom w:val="none" w:sz="0" w:space="0" w:color="auto"/>
        <w:right w:val="none" w:sz="0" w:space="0" w:color="auto"/>
      </w:divBdr>
      <w:divsChild>
        <w:div w:id="713848299">
          <w:marLeft w:val="0"/>
          <w:marRight w:val="0"/>
          <w:marTop w:val="0"/>
          <w:marBottom w:val="0"/>
          <w:divBdr>
            <w:top w:val="none" w:sz="0" w:space="0" w:color="auto"/>
            <w:left w:val="none" w:sz="0" w:space="0" w:color="auto"/>
            <w:bottom w:val="none" w:sz="0" w:space="0" w:color="auto"/>
            <w:right w:val="none" w:sz="0" w:space="0" w:color="auto"/>
          </w:divBdr>
          <w:divsChild>
            <w:div w:id="4306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ACD6-312C-4D39-836B-FE1F7248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2924</Words>
  <Characters>16670</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Hurtley</dc:creator>
  <cp:lastModifiedBy>Shauna Compton</cp:lastModifiedBy>
  <cp:revision>2</cp:revision>
  <cp:lastPrinted>2019-01-25T12:23:00Z</cp:lastPrinted>
  <dcterms:created xsi:type="dcterms:W3CDTF">2022-10-19T07:02:00Z</dcterms:created>
  <dcterms:modified xsi:type="dcterms:W3CDTF">2022-10-19T07:02:00Z</dcterms:modified>
</cp:coreProperties>
</file>